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26.png" ContentType="image/png"/>
  <Override PartName="/word/media/rId25.png" ContentType="image/png"/>
  <Override PartName="/word/media/rId23.png" ContentType="image/png"/>
  <Override PartName="/word/media/rId34.png" ContentType="image/png"/>
  <Override PartName="/word/media/rId33.png" ContentType="image/png"/>
  <Override PartName="/word/media/rId22.png" ContentType="image/png"/>
  <Override PartName="/word/media/rId35.png" ContentType="image/png"/>
  <Override PartName="/word/media/rId36.png" ContentType="image/png"/>
  <Override PartName="/word/media/rId37.png" ContentType="image/png"/>
  <Override PartName="/word/media/rId38.png" ContentType="image/png"/>
  <Override PartName="/word/media/rId39.png" ContentType="image/png"/>
  <Override PartName="/word/media/rId40.png" ContentType="image/png"/>
  <Override PartName="/word/media/rId41.png" ContentType="image/png"/>
  <Override PartName="/word/media/rId42.png" ContentType="image/png"/>
  <Override PartName="/word/media/rId24.png" ContentType="image/png"/>
  <Override PartName="/word/media/rId28.png" ContentType="image/png"/>
  <Override PartName="/word/media/rId29.png" ContentType="image/png"/>
  <Override PartName="/word/media/rId30.png" ContentType="image/png"/>
  <Override PartName="/word/media/rId31.png" ContentType="image/png"/>
  <Override PartName="/word/media/rId43.png" ContentType="image/png"/>
  <Override PartName="/word/media/image1.jpg" ContentType="image/jpeg"/>
  <Override PartName="/word/media/image2.jpg" ContentType="image/jpeg"/>
  <Override PartName="/word/media/image3.jpg" ContentType="image/jpeg"/>
  <Override PartName="/word/media/image4.jpg" ContentType="image/jpeg"/>
  <Override PartName="/word/media/image5.jpg" ContentType="image/jpeg"/>
  <Override PartName="/word/media/image6.jpg" ContentType="image/jpeg"/>
  <Override PartName="/word/media/image7.jpg" ContentType="image/jpe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Reproducible</w:t>
      </w:r>
      <w:r>
        <w:t xml:space="preserve"> </w:t>
      </w:r>
      <w:r>
        <w:t xml:space="preserve">data</w:t>
      </w:r>
      <w:r>
        <w:t xml:space="preserve"> </w:t>
      </w:r>
      <w:r>
        <w:t xml:space="preserve">analysis:</w:t>
      </w:r>
      <w:r>
        <w:t xml:space="preserve"> </w:t>
      </w:r>
      <w:r>
        <w:t xml:space="preserve">thesis</w:t>
      </w:r>
      <w:r>
        <w:t xml:space="preserve"> </w:t>
      </w:r>
      <w:r>
        <w:t xml:space="preserve">data</w:t>
      </w:r>
      <w:r>
        <w:t xml:space="preserve"> </w:t>
      </w:r>
      <w:r>
        <w:t xml:space="preserve">analysis</w:t>
      </w:r>
      <w:r>
        <w:t xml:space="preserve"> </w:t>
      </w:r>
      <w:r>
        <w:t xml:space="preserve">and</w:t>
      </w:r>
      <w:r>
        <w:t xml:space="preserve"> </w:t>
      </w:r>
      <w:r>
        <w:t xml:space="preserve">visualization</w:t>
      </w:r>
    </w:p>
    <w:p>
      <w:pPr>
        <w:pStyle w:val="Subtitle"/>
      </w:pPr>
      <w:r>
        <w:t xml:space="preserve">Pacific</w:t>
      </w:r>
      <w:r>
        <w:t xml:space="preserve"> </w:t>
      </w:r>
      <w:r>
        <w:t xml:space="preserve">Maritime</w:t>
      </w:r>
      <w:r>
        <w:t xml:space="preserve"> </w:t>
      </w:r>
      <w:r>
        <w:t xml:space="preserve">forWater</w:t>
      </w:r>
      <w:r>
        <w:t xml:space="preserve"> </w:t>
      </w:r>
      <w:r>
        <w:t xml:space="preserve">Masters</w:t>
      </w:r>
      <w:r>
        <w:t xml:space="preserve"> </w:t>
      </w:r>
      <w:r>
        <w:t xml:space="preserve">Project</w:t>
      </w:r>
      <w:r>
        <w:t xml:space="preserve"> </w:t>
      </w:r>
      <w:r>
        <w:t xml:space="preserve">(NSERC</w:t>
      </w:r>
      <w:r>
        <w:t xml:space="preserve"> </w:t>
      </w:r>
      <w:r>
        <w:t xml:space="preserve">forWater)</w:t>
      </w:r>
    </w:p>
    <w:p>
      <w:pPr>
        <w:pStyle w:val="Author"/>
      </w:pPr>
      <w:r>
        <w:t xml:space="preserve">Hannah</w:t>
      </w:r>
      <w:r>
        <w:t xml:space="preserve"> </w:t>
      </w:r>
      <w:r>
        <w:t xml:space="preserve">J</w:t>
      </w:r>
      <w:r>
        <w:t xml:space="preserve"> </w:t>
      </w:r>
      <w:r>
        <w:t xml:space="preserve">McSorley</w:t>
      </w:r>
    </w:p>
    <w:p>
      <w:pPr>
        <w:pStyle w:val="Date"/>
      </w:pPr>
      <w:r>
        <w:t xml:space="preserve">2020-01-31</w:t>
      </w:r>
    </w:p>
    <w:p>
      <w:pPr>
        <w:pStyle w:val="Heading1"/>
      </w:pPr>
      <w:bookmarkStart w:id="20" w:name="data-visualization-summary"/>
      <w:r>
        <w:t xml:space="preserve">Data Visualization &amp; Summary</w:t>
      </w:r>
      <w:bookmarkEnd w:id="20"/>
    </w:p>
    <w:p>
      <w:pPr>
        <w:pStyle w:val="FirstParagraph"/>
      </w:pPr>
      <w:r>
        <w:t xml:space="preserve">plots.</w:t>
      </w:r>
    </w:p>
    <w:p>
      <w:pPr>
        <w:pStyle w:val="Heading2"/>
      </w:pPr>
      <w:bookmarkStart w:id="21" w:name="doc-concentrations"/>
      <w:r>
        <w:t xml:space="preserve">DOC concentrations</w:t>
      </w:r>
      <w:bookmarkEnd w:id="21"/>
    </w:p>
    <w:p>
      <w:pPr>
        <w:pStyle w:val="FirstParagraph"/>
      </w:pPr>
      <w:r>
        <w:t xml:space="preserve">Figure 1 shows DOC concentrations were highest at Weeks Creek, the headwaters monitoring point for a sub-basin which included Weeks Lake and surrounding wetlands. On average, Chris Creek DOC concentration was 51% lower than Weeks creek. Below the confluence of Weeks and Chris Creek, the head of Leech River had a mean DOC concentration slightly less than the average of the two headwater tributatires. West Leech River had higher DOC than Cragg Creek by about 20%. Below the confluences of West Leech and Cragg Creek, the Leech Tunnel site had DOC concentrations that were 54% lower than the average at the Leech head, and closer to those of Cragg Creek.</w:t>
      </w:r>
    </w:p>
    <w:p>
      <w:pPr>
        <w:pStyle w:val="TableCaption"/>
      </w:pPr>
      <w:r>
        <w:t xml:space="preserve">summary of DOC concentrations at the six main sites</w:t>
      </w:r>
    </w:p>
    <w:tbl>
      <w:tblPr>
        <w:tblStyle w:val="Table"/>
        <w:tblW w:type="pct" w:w="0.0"/>
        <w:tblLook w:firstRow="1"/>
        <w:tblCaption w:val="summary of DOC concentrations at the six main sites"/>
      </w:tblPr>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right"/>
            </w:pPr>
            <w:r>
              <w:t xml:space="preserve">mean DOC (mg/L)</w:t>
            </w:r>
          </w:p>
        </w:tc>
        <w:tc>
          <w:tcPr>
            <w:tcBorders>
              <w:bottom w:val="single"/>
            </w:tcBorders>
            <w:vAlign w:val="bottom"/>
          </w:tcPr>
          <w:p>
            <w:pPr>
              <w:pStyle w:val="Compact"/>
              <w:jc w:val="right"/>
            </w:pPr>
            <w:r>
              <w:t xml:space="preserve">std.dev. (± mg/L)</w:t>
            </w:r>
          </w:p>
        </w:tc>
        <w:tc>
          <w:tcPr>
            <w:tcBorders>
              <w:bottom w:val="single"/>
            </w:tcBorders>
            <w:vAlign w:val="bottom"/>
          </w:tcPr>
          <w:p>
            <w:pPr>
              <w:pStyle w:val="Compact"/>
              <w:jc w:val="right"/>
            </w:pPr>
            <w:r>
              <w:t xml:space="preserve">RSD (%)</w:t>
            </w:r>
          </w:p>
        </w:tc>
      </w:tr>
      <w:tr>
        <w:tc>
          <w:p>
            <w:pPr>
              <w:pStyle w:val="Compact"/>
              <w:jc w:val="left"/>
            </w:pPr>
            <w:r>
              <w:t xml:space="preserve">Weeks-out</w:t>
            </w:r>
          </w:p>
        </w:tc>
        <w:tc>
          <w:p>
            <w:pPr>
              <w:pStyle w:val="Compact"/>
              <w:jc w:val="right"/>
            </w:pPr>
            <w:r>
              <w:t xml:space="preserve">10.4</w:t>
            </w:r>
          </w:p>
        </w:tc>
        <w:tc>
          <w:p>
            <w:pPr>
              <w:pStyle w:val="Compact"/>
              <w:jc w:val="right"/>
            </w:pPr>
            <w:r>
              <w:t xml:space="preserve">3.6</w:t>
            </w:r>
          </w:p>
        </w:tc>
        <w:tc>
          <w:p>
            <w:pPr>
              <w:pStyle w:val="Compact"/>
              <w:jc w:val="right"/>
            </w:pPr>
            <w:r>
              <w:t xml:space="preserve">34.4</w:t>
            </w:r>
          </w:p>
        </w:tc>
      </w:tr>
      <w:tr>
        <w:tc>
          <w:p>
            <w:pPr>
              <w:pStyle w:val="Compact"/>
              <w:jc w:val="left"/>
            </w:pPr>
            <w:r>
              <w:t xml:space="preserve">Chris-crk</w:t>
            </w:r>
          </w:p>
        </w:tc>
        <w:tc>
          <w:p>
            <w:pPr>
              <w:pStyle w:val="Compact"/>
              <w:jc w:val="right"/>
            </w:pPr>
            <w:r>
              <w:t xml:space="preserve">5.1</w:t>
            </w:r>
          </w:p>
        </w:tc>
        <w:tc>
          <w:p>
            <w:pPr>
              <w:pStyle w:val="Compact"/>
              <w:jc w:val="right"/>
            </w:pPr>
            <w:r>
              <w:t xml:space="preserve">2.1</w:t>
            </w:r>
          </w:p>
        </w:tc>
        <w:tc>
          <w:p>
            <w:pPr>
              <w:pStyle w:val="Compact"/>
              <w:jc w:val="right"/>
            </w:pPr>
            <w:r>
              <w:t xml:space="preserve">40.9</w:t>
            </w:r>
          </w:p>
        </w:tc>
      </w:tr>
      <w:tr>
        <w:tc>
          <w:p>
            <w:pPr>
              <w:pStyle w:val="Compact"/>
              <w:jc w:val="left"/>
            </w:pPr>
            <w:r>
              <w:t xml:space="preserve">Leech-head</w:t>
            </w:r>
          </w:p>
        </w:tc>
        <w:tc>
          <w:p>
            <w:pPr>
              <w:pStyle w:val="Compact"/>
              <w:jc w:val="right"/>
            </w:pPr>
            <w:r>
              <w:t xml:space="preserve">7.3</w:t>
            </w:r>
          </w:p>
        </w:tc>
        <w:tc>
          <w:p>
            <w:pPr>
              <w:pStyle w:val="Compact"/>
              <w:jc w:val="right"/>
            </w:pPr>
            <w:r>
              <w:t xml:space="preserve">1.6</w:t>
            </w:r>
          </w:p>
        </w:tc>
        <w:tc>
          <w:p>
            <w:pPr>
              <w:pStyle w:val="Compact"/>
              <w:jc w:val="right"/>
            </w:pPr>
            <w:r>
              <w:t xml:space="preserve">22.1</w:t>
            </w:r>
          </w:p>
        </w:tc>
      </w:tr>
      <w:tr>
        <w:tc>
          <w:p>
            <w:pPr>
              <w:pStyle w:val="Compact"/>
              <w:jc w:val="left"/>
            </w:pPr>
            <w:r>
              <w:t xml:space="preserve">Cragg-crk</w:t>
            </w:r>
          </w:p>
        </w:tc>
        <w:tc>
          <w:p>
            <w:pPr>
              <w:pStyle w:val="Compact"/>
              <w:jc w:val="right"/>
            </w:pPr>
            <w:r>
              <w:t xml:space="preserve">4.7</w:t>
            </w:r>
          </w:p>
        </w:tc>
        <w:tc>
          <w:p>
            <w:pPr>
              <w:pStyle w:val="Compact"/>
              <w:jc w:val="right"/>
            </w:pPr>
            <w:r>
              <w:t xml:space="preserve">1.5</w:t>
            </w:r>
          </w:p>
        </w:tc>
        <w:tc>
          <w:p>
            <w:pPr>
              <w:pStyle w:val="Compact"/>
              <w:jc w:val="right"/>
            </w:pPr>
            <w:r>
              <w:t xml:space="preserve">32.4</w:t>
            </w:r>
          </w:p>
        </w:tc>
      </w:tr>
      <w:tr>
        <w:tc>
          <w:p>
            <w:pPr>
              <w:pStyle w:val="Compact"/>
              <w:jc w:val="left"/>
            </w:pPr>
            <w:r>
              <w:t xml:space="preserve">West-Leech</w:t>
            </w:r>
          </w:p>
        </w:tc>
        <w:tc>
          <w:p>
            <w:pPr>
              <w:pStyle w:val="Compact"/>
              <w:jc w:val="right"/>
            </w:pPr>
            <w:r>
              <w:t xml:space="preserve">5.9</w:t>
            </w:r>
          </w:p>
        </w:tc>
        <w:tc>
          <w:p>
            <w:pPr>
              <w:pStyle w:val="Compact"/>
              <w:jc w:val="right"/>
            </w:pPr>
            <w:r>
              <w:t xml:space="preserve">2.3</w:t>
            </w:r>
          </w:p>
        </w:tc>
        <w:tc>
          <w:p>
            <w:pPr>
              <w:pStyle w:val="Compact"/>
              <w:jc w:val="right"/>
            </w:pPr>
            <w:r>
              <w:t xml:space="preserve">39.2</w:t>
            </w:r>
          </w:p>
        </w:tc>
      </w:tr>
      <w:tr>
        <w:tc>
          <w:p>
            <w:pPr>
              <w:pStyle w:val="Compact"/>
              <w:jc w:val="left"/>
            </w:pPr>
            <w:r>
              <w:t xml:space="preserve">Tunnel</w:t>
            </w:r>
          </w:p>
        </w:tc>
        <w:tc>
          <w:p>
            <w:pPr>
              <w:pStyle w:val="Compact"/>
              <w:jc w:val="right"/>
            </w:pPr>
            <w:r>
              <w:t xml:space="preserve">4.8</w:t>
            </w:r>
          </w:p>
        </w:tc>
        <w:tc>
          <w:p>
            <w:pPr>
              <w:pStyle w:val="Compact"/>
              <w:jc w:val="right"/>
            </w:pPr>
            <w:r>
              <w:t xml:space="preserve">1.8</w:t>
            </w:r>
          </w:p>
        </w:tc>
        <w:tc>
          <w:p>
            <w:pPr>
              <w:pStyle w:val="Compact"/>
              <w:jc w:val="right"/>
            </w:pPr>
            <w:r>
              <w:t xml:space="preserve">37.7</w:t>
            </w:r>
          </w:p>
        </w:tc>
      </w:tr>
    </w:tbl>
    <w:p>
      <w:pPr>
        <w:pStyle w:val="BodyText"/>
      </w:pPr>
      <w:r>
        <w:drawing>
          <wp:inline>
            <wp:extent cx="5943600" cy="4457700"/>
            <wp:effectExtent b="0" l="0" r="0" t="0"/>
            <wp:docPr descr="" title="" id="1" name="Picture"/>
            <a:graphic>
              <a:graphicData uri="http://schemas.openxmlformats.org/drawingml/2006/picture">
                <pic:pic>
                  <pic:nvPicPr>
                    <pic:cNvPr descr="02_DataAnalysis-Visualization_Thesis-UBC-forWater-MSc_HMc_2020-01-31_files/figure-docx/DOC-space%20plot%20all-1.png" id="0" name="Picture"/>
                    <pic:cNvPicPr>
                      <a:picLocks noChangeArrowheads="1" noChangeAspect="1"/>
                    </pic:cNvPicPr>
                  </pic:nvPicPr>
                  <pic:blipFill>
                    <a:blip r:embed="rId22"/>
                    <a:stretch>
                      <a:fillRect/>
                    </a:stretch>
                  </pic:blipFill>
                  <pic:spPr bwMode="auto">
                    <a:xfrm>
                      <a:off x="0" y="0"/>
                      <a:ext cx="5943600" cy="4457700"/>
                    </a:xfrm>
                    <a:prstGeom prst="rect">
                      <a:avLst/>
                    </a:prstGeom>
                    <a:noFill/>
                    <a:ln w="9525">
                      <a:noFill/>
                      <a:headEnd/>
                      <a:tailEnd/>
                    </a:ln>
                  </pic:spPr>
                </pic:pic>
              </a:graphicData>
            </a:graphic>
          </wp:inline>
        </w:drawing>
      </w:r>
    </w:p>
    <w:p>
      <w:pPr>
        <w:pStyle w:val="BodyText"/>
      </w:pPr>
      <w:r>
        <w:t xml:space="preserve">At the six sub-basin monitoring sites, vertical racks were installed to collect samples as the rivers rose in response to precipitation events.</w:t>
      </w:r>
    </w:p>
    <w:p>
      <w:pPr>
        <w:pStyle w:val="BodyText"/>
      </w:pPr>
      <w:r>
        <w:t xml:space="preserve">These vertical racks collected samples on the rising hydrograph limb, which has ben shown to have higher DOC concentration that non-storm flow</w:t>
      </w:r>
      <w:r>
        <w:t xml:space="preserve"> </w:t>
      </w:r>
      <w:r>
        <w:t xml:space="preserve">(Yang et al. 2015, @Raymond2016, @Raymond2010)</w:t>
      </w:r>
      <w:r>
        <w:t xml:space="preserve">. As the vertical racks require a hydrologic response to collect samples, they are only applicable during the wet season. Comparing wet season Grab samples to those collected on Racks confirms that the rack samplers were able to capture more samples, and many during periods with higher DOC concentrations (Fig.2).</w:t>
      </w:r>
    </w:p>
    <w:p>
      <w:pPr>
        <w:pStyle w:val="BodyText"/>
      </w:pPr>
      <w:r>
        <w:drawing>
          <wp:inline>
            <wp:extent cx="5943600" cy="4457700"/>
            <wp:effectExtent b="0" l="0" r="0" t="0"/>
            <wp:docPr descr="" title="" id="1" name="Picture"/>
            <a:graphic>
              <a:graphicData uri="http://schemas.openxmlformats.org/drawingml/2006/picture">
                <pic:pic>
                  <pic:nvPicPr>
                    <pic:cNvPr descr="02_DataAnalysis-Visualization_Thesis-UBC-forWater-MSc_HMc_2020-01-31_files/figure-docx/DOC%20space-time%20boxplot-1.png" id="0" name="Picture"/>
                    <pic:cNvPicPr>
                      <a:picLocks noChangeArrowheads="1" noChangeAspect="1"/>
                    </pic:cNvPicPr>
                  </pic:nvPicPr>
                  <pic:blipFill>
                    <a:blip r:embed="rId23"/>
                    <a:stretch>
                      <a:fillRect/>
                    </a:stretch>
                  </pic:blipFill>
                  <pic:spPr bwMode="auto">
                    <a:xfrm>
                      <a:off x="0" y="0"/>
                      <a:ext cx="5943600" cy="4457700"/>
                    </a:xfrm>
                    <a:prstGeom prst="rect">
                      <a:avLst/>
                    </a:prstGeom>
                    <a:noFill/>
                    <a:ln w="9525">
                      <a:noFill/>
                      <a:headEnd/>
                      <a:tailEnd/>
                    </a:ln>
                  </pic:spPr>
                </pic:pic>
              </a:graphicData>
            </a:graphic>
          </wp:inline>
        </w:drawing>
      </w:r>
    </w:p>
    <w:p>
      <w:pPr>
        <w:pStyle w:val="BodyText"/>
      </w:pPr>
      <w:r>
        <w:drawing>
          <wp:inline>
            <wp:extent cx="4620126" cy="3696101"/>
            <wp:effectExtent b="0" l="0" r="0" t="0"/>
            <wp:docPr descr="" title="" id="1" name="Picture"/>
            <a:graphic>
              <a:graphicData uri="http://schemas.openxmlformats.org/drawingml/2006/picture">
                <pic:pic>
                  <pic:nvPicPr>
                    <pic:cNvPr descr="02_DataAnalysis-Visualization_Thesis-UBC-forWater-MSc_HMc_2020-01-31_files/figure-docx/sample_type%20ridge%20plots-1.png" id="0" name="Picture"/>
                    <pic:cNvPicPr>
                      <a:picLocks noChangeArrowheads="1" noChangeAspect="1"/>
                    </pic:cNvPicPr>
                  </pic:nvPicPr>
                  <pic:blipFill>
                    <a:blip r:embed="rId24"/>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Over the study period, a total of 229 Grab samples were collected. 215 samples were collected from 15 synoptically sampled sites (which included the six installation sites), as well 14 samples collected from one-off opportunistic sample locations around the water supply area. The synoptic sampling program was enhanced by collection of stormflow on the six vertical racks. Over the study period, DOC concentrations decreased throughout the wet season, and increased again during the dry summer months (Fig.3).</w:t>
      </w:r>
    </w:p>
    <w:p>
      <w:pPr>
        <w:pStyle w:val="BodyText"/>
      </w:pPr>
      <w:r>
        <w:drawing>
          <wp:inline>
            <wp:extent cx="5943600" cy="4457700"/>
            <wp:effectExtent b="0" l="0" r="0" t="0"/>
            <wp:docPr descr="" title="" id="1" name="Picture"/>
            <a:graphic>
              <a:graphicData uri="http://schemas.openxmlformats.org/drawingml/2006/picture">
                <pic:pic>
                  <pic:nvPicPr>
                    <pic:cNvPr descr="02_DataAnalysis-Visualization_Thesis-UBC-forWater-MSc_HMc_2020-01-31_files/figure-docx/DOC%20scatter%20plots%20by%20sample_type-1.png" id="0" name="Picture"/>
                    <pic:cNvPicPr>
                      <a:picLocks noChangeArrowheads="1" noChangeAspect="1"/>
                    </pic:cNvPicPr>
                  </pic:nvPicPr>
                  <pic:blipFill>
                    <a:blip r:embed="rId25"/>
                    <a:stretch>
                      <a:fillRect/>
                    </a:stretch>
                  </pic:blipFill>
                  <pic:spPr bwMode="auto">
                    <a:xfrm>
                      <a:off x="0" y="0"/>
                      <a:ext cx="5943600" cy="4457700"/>
                    </a:xfrm>
                    <a:prstGeom prst="rect">
                      <a:avLst/>
                    </a:prstGeom>
                    <a:noFill/>
                    <a:ln w="9525">
                      <a:noFill/>
                      <a:headEnd/>
                      <a:tailEnd/>
                    </a:ln>
                  </pic:spPr>
                </pic:pic>
              </a:graphicData>
            </a:graphic>
          </wp:inline>
        </w:drawing>
      </w:r>
    </w:p>
    <w:p>
      <w:pPr>
        <w:pStyle w:val="BodyText"/>
      </w:pPr>
      <w:r>
        <w:t xml:space="preserve">Figure 4 shows DOC concentrations over the study period at each of the six installation locations in the Leech.</w:t>
      </w:r>
    </w:p>
    <w:p>
      <w:pPr>
        <w:pStyle w:val="BodyText"/>
      </w:pPr>
      <w:r>
        <w:drawing>
          <wp:inline>
            <wp:extent cx="5943600" cy="4457700"/>
            <wp:effectExtent b="0" l="0" r="0" t="0"/>
            <wp:docPr descr="" title="" id="1" name="Picture"/>
            <a:graphic>
              <a:graphicData uri="http://schemas.openxmlformats.org/drawingml/2006/picture">
                <pic:pic>
                  <pic:nvPicPr>
                    <pic:cNvPr descr="02_DataAnalysis-Visualization_Thesis-UBC-forWater-MSc_HMc_2020-01-31_files/figure-docx/DOC%20over%20time%20at%206%20sites%20by%20sample_type-1.png" id="0" name="Picture"/>
                    <pic:cNvPicPr>
                      <a:picLocks noChangeArrowheads="1" noChangeAspect="1"/>
                    </pic:cNvPicPr>
                  </pic:nvPicPr>
                  <pic:blipFill>
                    <a:blip r:embed="rId26"/>
                    <a:stretch>
                      <a:fillRect/>
                    </a:stretch>
                  </pic:blipFill>
                  <pic:spPr bwMode="auto">
                    <a:xfrm>
                      <a:off x="0" y="0"/>
                      <a:ext cx="5943600" cy="4457700"/>
                    </a:xfrm>
                    <a:prstGeom prst="rect">
                      <a:avLst/>
                    </a:prstGeom>
                    <a:noFill/>
                    <a:ln w="9525">
                      <a:noFill/>
                      <a:headEnd/>
                      <a:tailEnd/>
                    </a:ln>
                  </pic:spPr>
                </pic:pic>
              </a:graphicData>
            </a:graphic>
          </wp:inline>
        </w:drawing>
      </w:r>
    </w:p>
    <w:p>
      <w:pPr>
        <w:pStyle w:val="Heading3"/>
      </w:pPr>
      <w:bookmarkStart w:id="27" w:name="seasonal-examination-of-doc-dynamics"/>
      <w:r>
        <w:t xml:space="preserve">Seasonal examination of DOC dynamics</w:t>
      </w:r>
      <w:bookmarkEnd w:id="27"/>
    </w:p>
    <w:p>
      <w:pPr>
        <w:pStyle w:val="FirstParagraph"/>
      </w:pPr>
      <w:r>
        <w:t xml:space="preserve">Here, a categorical season ID was used to assess temporal variations in DOC. Seasons were separated based on months of the year: the wet season was October through May, and the dry season was June until October.</w:t>
      </w:r>
    </w:p>
    <w:p>
      <w:pPr>
        <w:pStyle w:val="Compact"/>
        <w:numPr>
          <w:numId w:val="1001"/>
          <w:ilvl w:val="0"/>
        </w:numPr>
      </w:pPr>
      <w:r>
        <w:t xml:space="preserve">Precipitation data will be employed to operationally separate season (data obtained January 31, 2020 from CRD).</w:t>
      </w:r>
    </w:p>
    <w:p>
      <w:pPr>
        <w:pStyle w:val="FirstParagraph"/>
      </w:pPr>
      <w:r>
        <w:t xml:space="preserve">These seasonal plots show DOC data from both Rack and Grab samples in order to include the full range of concentrations.</w:t>
      </w:r>
    </w:p>
    <w:p>
      <w:pPr>
        <w:pStyle w:val="BodyText"/>
      </w:pPr>
      <w:r>
        <w:t xml:space="preserve">While DOC concentrations generally increased during stormflow (relative to between-storm peaks) in the wet season, the dry season (summer) baseflow conditions showed elevated levels of DOC compared to wet season DOC (Fig.5).</w:t>
      </w:r>
    </w:p>
    <w:tbl>
      <w:tblPr>
        <w:tblStyle w:val="Table"/>
        <w:tblW w:type="pct" w:w="0.0"/>
        <w:tblLook w:firstRow="1"/>
      </w:tblPr>
      <w:tblGrid/>
      <w:tr>
        <w:trPr>
          <w:cnfStyle w:firstRow="1"/>
        </w:trPr>
        <w:tc>
          <w:tcPr>
            <w:tcBorders>
              <w:bottom w:val="single"/>
            </w:tcBorders>
            <w:vAlign w:val="bottom"/>
          </w:tcPr>
          <w:p>
            <w:pPr>
              <w:pStyle w:val="Compact"/>
              <w:jc w:val="left"/>
            </w:pPr>
            <w:r>
              <w:t xml:space="preserve">season</w:t>
            </w:r>
          </w:p>
        </w:tc>
        <w:tc>
          <w:tcPr>
            <w:tcBorders>
              <w:bottom w:val="single"/>
            </w:tcBorders>
            <w:vAlign w:val="bottom"/>
          </w:tcPr>
          <w:p>
            <w:pPr>
              <w:pStyle w:val="Compact"/>
              <w:jc w:val="left"/>
            </w:pPr>
            <w:r>
              <w:t xml:space="preserve">site</w:t>
            </w:r>
          </w:p>
        </w:tc>
        <w:tc>
          <w:tcPr>
            <w:tcBorders>
              <w:bottom w:val="single"/>
            </w:tcBorders>
            <w:vAlign w:val="bottom"/>
          </w:tcPr>
          <w:p>
            <w:pPr>
              <w:pStyle w:val="Compact"/>
              <w:jc w:val="right"/>
            </w:pPr>
            <w:r>
              <w:t xml:space="preserve">mean DOC (mg/L)</w:t>
            </w:r>
          </w:p>
        </w:tc>
        <w:tc>
          <w:tcPr>
            <w:tcBorders>
              <w:bottom w:val="single"/>
            </w:tcBorders>
            <w:vAlign w:val="bottom"/>
          </w:tcPr>
          <w:p>
            <w:pPr>
              <w:pStyle w:val="Compact"/>
              <w:jc w:val="right"/>
            </w:pPr>
            <w:r>
              <w:t xml:space="preserve">std.dev. (± mg/L)</w:t>
            </w:r>
          </w:p>
        </w:tc>
        <w:tc>
          <w:tcPr>
            <w:tcBorders>
              <w:bottom w:val="single"/>
            </w:tcBorders>
            <w:vAlign w:val="bottom"/>
          </w:tcPr>
          <w:p>
            <w:pPr>
              <w:pStyle w:val="Compact"/>
              <w:jc w:val="right"/>
            </w:pPr>
            <w:r>
              <w:t xml:space="preserve">RSD (%)</w:t>
            </w:r>
          </w:p>
        </w:tc>
      </w:tr>
      <w:tr>
        <w:tc>
          <w:p>
            <w:pPr>
              <w:pStyle w:val="Compact"/>
              <w:jc w:val="left"/>
            </w:pPr>
            <w:r>
              <w:t xml:space="preserve">Weeks-out</w:t>
            </w:r>
          </w:p>
        </w:tc>
        <w:tc>
          <w:p>
            <w:pPr>
              <w:pStyle w:val="Compact"/>
              <w:jc w:val="left"/>
            </w:pPr>
            <w:r>
              <w:t xml:space="preserve">dry</w:t>
            </w:r>
          </w:p>
        </w:tc>
        <w:tc>
          <w:p>
            <w:pPr>
              <w:pStyle w:val="Compact"/>
              <w:jc w:val="right"/>
            </w:pPr>
            <w:r>
              <w:t xml:space="preserve">13.4</w:t>
            </w:r>
          </w:p>
        </w:tc>
        <w:tc>
          <w:p>
            <w:pPr>
              <w:pStyle w:val="Compact"/>
              <w:jc w:val="right"/>
            </w:pPr>
            <w:r>
              <w:t xml:space="preserve">3.4</w:t>
            </w:r>
          </w:p>
        </w:tc>
        <w:tc>
          <w:p>
            <w:pPr>
              <w:pStyle w:val="Compact"/>
              <w:jc w:val="right"/>
            </w:pPr>
            <w:r>
              <w:t xml:space="preserve">25.3</w:t>
            </w:r>
          </w:p>
        </w:tc>
      </w:tr>
      <w:tr>
        <w:tc>
          <w:p>
            <w:pPr>
              <w:pStyle w:val="Compact"/>
              <w:jc w:val="left"/>
            </w:pPr>
            <w:r>
              <w:t xml:space="preserve">Weeks-out</w:t>
            </w:r>
          </w:p>
        </w:tc>
        <w:tc>
          <w:p>
            <w:pPr>
              <w:pStyle w:val="Compact"/>
              <w:jc w:val="left"/>
            </w:pPr>
            <w:r>
              <w:t xml:space="preserve">wet</w:t>
            </w:r>
          </w:p>
        </w:tc>
        <w:tc>
          <w:p>
            <w:pPr>
              <w:pStyle w:val="Compact"/>
              <w:jc w:val="right"/>
            </w:pPr>
            <w:r>
              <w:t xml:space="preserve">9.8</w:t>
            </w:r>
          </w:p>
        </w:tc>
        <w:tc>
          <w:p>
            <w:pPr>
              <w:pStyle w:val="Compact"/>
              <w:jc w:val="right"/>
            </w:pPr>
            <w:r>
              <w:t xml:space="preserve">3.4</w:t>
            </w:r>
          </w:p>
        </w:tc>
        <w:tc>
          <w:p>
            <w:pPr>
              <w:pStyle w:val="Compact"/>
              <w:jc w:val="right"/>
            </w:pPr>
            <w:r>
              <w:t xml:space="preserve">34.2</w:t>
            </w:r>
          </w:p>
        </w:tc>
      </w:tr>
      <w:tr>
        <w:tc>
          <w:p>
            <w:pPr>
              <w:pStyle w:val="Compact"/>
              <w:jc w:val="left"/>
            </w:pPr>
            <w:r>
              <w:t xml:space="preserve">Chris-crk</w:t>
            </w:r>
          </w:p>
        </w:tc>
        <w:tc>
          <w:p>
            <w:pPr>
              <w:pStyle w:val="Compact"/>
              <w:jc w:val="left"/>
            </w:pPr>
            <w:r>
              <w:t xml:space="preserve">dry</w:t>
            </w:r>
          </w:p>
        </w:tc>
        <w:tc>
          <w:p>
            <w:pPr>
              <w:pStyle w:val="Compact"/>
              <w:jc w:val="right"/>
            </w:pPr>
            <w:r>
              <w:t xml:space="preserve">7.2</w:t>
            </w:r>
          </w:p>
        </w:tc>
        <w:tc>
          <w:p>
            <w:pPr>
              <w:pStyle w:val="Compact"/>
              <w:jc w:val="right"/>
            </w:pPr>
            <w:r>
              <w:t xml:space="preserve">1.2</w:t>
            </w:r>
          </w:p>
        </w:tc>
        <w:tc>
          <w:p>
            <w:pPr>
              <w:pStyle w:val="Compact"/>
              <w:jc w:val="right"/>
            </w:pPr>
            <w:r>
              <w:t xml:space="preserve">16.0</w:t>
            </w:r>
          </w:p>
        </w:tc>
      </w:tr>
      <w:tr>
        <w:tc>
          <w:p>
            <w:pPr>
              <w:pStyle w:val="Compact"/>
              <w:jc w:val="left"/>
            </w:pPr>
            <w:r>
              <w:t xml:space="preserve">Chris-crk</w:t>
            </w:r>
          </w:p>
        </w:tc>
        <w:tc>
          <w:p>
            <w:pPr>
              <w:pStyle w:val="Compact"/>
              <w:jc w:val="left"/>
            </w:pPr>
            <w:r>
              <w:t xml:space="preserve">wet</w:t>
            </w:r>
          </w:p>
        </w:tc>
        <w:tc>
          <w:p>
            <w:pPr>
              <w:pStyle w:val="Compact"/>
              <w:jc w:val="right"/>
            </w:pPr>
            <w:r>
              <w:t xml:space="preserve">4.7</w:t>
            </w:r>
          </w:p>
        </w:tc>
        <w:tc>
          <w:p>
            <w:pPr>
              <w:pStyle w:val="Compact"/>
              <w:jc w:val="right"/>
            </w:pPr>
            <w:r>
              <w:t xml:space="preserve">2.0</w:t>
            </w:r>
          </w:p>
        </w:tc>
        <w:tc>
          <w:p>
            <w:pPr>
              <w:pStyle w:val="Compact"/>
              <w:jc w:val="right"/>
            </w:pPr>
            <w:r>
              <w:t xml:space="preserve">42.0</w:t>
            </w:r>
          </w:p>
        </w:tc>
      </w:tr>
      <w:tr>
        <w:tc>
          <w:p>
            <w:pPr>
              <w:pStyle w:val="Compact"/>
              <w:jc w:val="left"/>
            </w:pPr>
            <w:r>
              <w:t xml:space="preserve">Leech-head</w:t>
            </w:r>
          </w:p>
        </w:tc>
        <w:tc>
          <w:p>
            <w:pPr>
              <w:pStyle w:val="Compact"/>
              <w:jc w:val="left"/>
            </w:pPr>
            <w:r>
              <w:t xml:space="preserve">dry</w:t>
            </w:r>
          </w:p>
        </w:tc>
        <w:tc>
          <w:p>
            <w:pPr>
              <w:pStyle w:val="Compact"/>
              <w:jc w:val="right"/>
            </w:pPr>
            <w:r>
              <w:t xml:space="preserve">7.6</w:t>
            </w:r>
          </w:p>
        </w:tc>
        <w:tc>
          <w:p>
            <w:pPr>
              <w:pStyle w:val="Compact"/>
              <w:jc w:val="right"/>
            </w:pPr>
            <w:r>
              <w:t xml:space="preserve">1.9</w:t>
            </w:r>
          </w:p>
        </w:tc>
        <w:tc>
          <w:p>
            <w:pPr>
              <w:pStyle w:val="Compact"/>
              <w:jc w:val="right"/>
            </w:pPr>
            <w:r>
              <w:t xml:space="preserve">25.3</w:t>
            </w:r>
          </w:p>
        </w:tc>
      </w:tr>
      <w:tr>
        <w:tc>
          <w:p>
            <w:pPr>
              <w:pStyle w:val="Compact"/>
              <w:jc w:val="left"/>
            </w:pPr>
            <w:r>
              <w:t xml:space="preserve">Leech-head</w:t>
            </w:r>
          </w:p>
        </w:tc>
        <w:tc>
          <w:p>
            <w:pPr>
              <w:pStyle w:val="Compact"/>
              <w:jc w:val="left"/>
            </w:pPr>
            <w:r>
              <w:t xml:space="preserve">wet</w:t>
            </w:r>
          </w:p>
        </w:tc>
        <w:tc>
          <w:p>
            <w:pPr>
              <w:pStyle w:val="Compact"/>
              <w:jc w:val="right"/>
            </w:pPr>
            <w:r>
              <w:t xml:space="preserve">7.3</w:t>
            </w:r>
          </w:p>
        </w:tc>
        <w:tc>
          <w:p>
            <w:pPr>
              <w:pStyle w:val="Compact"/>
              <w:jc w:val="right"/>
            </w:pPr>
            <w:r>
              <w:t xml:space="preserve">1.6</w:t>
            </w:r>
          </w:p>
        </w:tc>
        <w:tc>
          <w:p>
            <w:pPr>
              <w:pStyle w:val="Compact"/>
              <w:jc w:val="right"/>
            </w:pPr>
            <w:r>
              <w:t xml:space="preserve">21.6</w:t>
            </w:r>
          </w:p>
        </w:tc>
      </w:tr>
      <w:tr>
        <w:tc>
          <w:p>
            <w:pPr>
              <w:pStyle w:val="Compact"/>
              <w:jc w:val="left"/>
            </w:pPr>
            <w:r>
              <w:t xml:space="preserve">Cragg-crk</w:t>
            </w:r>
          </w:p>
        </w:tc>
        <w:tc>
          <w:p>
            <w:pPr>
              <w:pStyle w:val="Compact"/>
              <w:jc w:val="left"/>
            </w:pPr>
            <w:r>
              <w:t xml:space="preserve">dry</w:t>
            </w:r>
          </w:p>
        </w:tc>
        <w:tc>
          <w:p>
            <w:pPr>
              <w:pStyle w:val="Compact"/>
              <w:jc w:val="right"/>
            </w:pPr>
            <w:r>
              <w:t xml:space="preserve">5.4</w:t>
            </w:r>
          </w:p>
        </w:tc>
        <w:tc>
          <w:p>
            <w:pPr>
              <w:pStyle w:val="Compact"/>
              <w:jc w:val="right"/>
            </w:pPr>
            <w:r>
              <w:t xml:space="preserve">1.5</w:t>
            </w:r>
          </w:p>
        </w:tc>
        <w:tc>
          <w:p>
            <w:pPr>
              <w:pStyle w:val="Compact"/>
              <w:jc w:val="right"/>
            </w:pPr>
            <w:r>
              <w:t xml:space="preserve">27.2</w:t>
            </w:r>
          </w:p>
        </w:tc>
      </w:tr>
      <w:tr>
        <w:tc>
          <w:p>
            <w:pPr>
              <w:pStyle w:val="Compact"/>
              <w:jc w:val="left"/>
            </w:pPr>
            <w:r>
              <w:t xml:space="preserve">Cragg-crk</w:t>
            </w:r>
          </w:p>
        </w:tc>
        <w:tc>
          <w:p>
            <w:pPr>
              <w:pStyle w:val="Compact"/>
              <w:jc w:val="left"/>
            </w:pPr>
            <w:r>
              <w:t xml:space="preserve">wet</w:t>
            </w:r>
          </w:p>
        </w:tc>
        <w:tc>
          <w:p>
            <w:pPr>
              <w:pStyle w:val="Compact"/>
              <w:jc w:val="right"/>
            </w:pPr>
            <w:r>
              <w:t xml:space="preserve">4.7</w:t>
            </w:r>
          </w:p>
        </w:tc>
        <w:tc>
          <w:p>
            <w:pPr>
              <w:pStyle w:val="Compact"/>
              <w:jc w:val="right"/>
            </w:pPr>
            <w:r>
              <w:t xml:space="preserve">1.5</w:t>
            </w:r>
          </w:p>
        </w:tc>
        <w:tc>
          <w:p>
            <w:pPr>
              <w:pStyle w:val="Compact"/>
              <w:jc w:val="right"/>
            </w:pPr>
            <w:r>
              <w:t xml:space="preserve">33.0</w:t>
            </w:r>
          </w:p>
        </w:tc>
      </w:tr>
      <w:tr>
        <w:tc>
          <w:p>
            <w:pPr>
              <w:pStyle w:val="Compact"/>
              <w:jc w:val="left"/>
            </w:pPr>
            <w:r>
              <w:t xml:space="preserve">West-Leech</w:t>
            </w:r>
          </w:p>
        </w:tc>
        <w:tc>
          <w:p>
            <w:pPr>
              <w:pStyle w:val="Compact"/>
              <w:jc w:val="left"/>
            </w:pPr>
            <w:r>
              <w:t xml:space="preserve">dry</w:t>
            </w:r>
          </w:p>
        </w:tc>
        <w:tc>
          <w:p>
            <w:pPr>
              <w:pStyle w:val="Compact"/>
              <w:jc w:val="right"/>
            </w:pPr>
            <w:r>
              <w:t xml:space="preserve">7.1</w:t>
            </w:r>
          </w:p>
        </w:tc>
        <w:tc>
          <w:p>
            <w:pPr>
              <w:pStyle w:val="Compact"/>
              <w:jc w:val="right"/>
            </w:pPr>
            <w:r>
              <w:t xml:space="preserve">2.1</w:t>
            </w:r>
          </w:p>
        </w:tc>
        <w:tc>
          <w:p>
            <w:pPr>
              <w:pStyle w:val="Compact"/>
              <w:jc w:val="right"/>
            </w:pPr>
            <w:r>
              <w:t xml:space="preserve">29.9</w:t>
            </w:r>
          </w:p>
        </w:tc>
      </w:tr>
      <w:tr>
        <w:tc>
          <w:p>
            <w:pPr>
              <w:pStyle w:val="Compact"/>
              <w:jc w:val="left"/>
            </w:pPr>
            <w:r>
              <w:t xml:space="preserve">West-Leech</w:t>
            </w:r>
          </w:p>
        </w:tc>
        <w:tc>
          <w:p>
            <w:pPr>
              <w:pStyle w:val="Compact"/>
              <w:jc w:val="left"/>
            </w:pPr>
            <w:r>
              <w:t xml:space="preserve">wet</w:t>
            </w:r>
          </w:p>
        </w:tc>
        <w:tc>
          <w:p>
            <w:pPr>
              <w:pStyle w:val="Compact"/>
              <w:jc w:val="right"/>
            </w:pPr>
            <w:r>
              <w:t xml:space="preserve">5.7</w:t>
            </w:r>
          </w:p>
        </w:tc>
        <w:tc>
          <w:p>
            <w:pPr>
              <w:pStyle w:val="Compact"/>
              <w:jc w:val="right"/>
            </w:pPr>
            <w:r>
              <w:t xml:space="preserve">2.3</w:t>
            </w:r>
          </w:p>
        </w:tc>
        <w:tc>
          <w:p>
            <w:pPr>
              <w:pStyle w:val="Compact"/>
              <w:jc w:val="right"/>
            </w:pPr>
            <w:r>
              <w:t xml:space="preserve">40.4</w:t>
            </w:r>
          </w:p>
        </w:tc>
      </w:tr>
      <w:tr>
        <w:tc>
          <w:p>
            <w:pPr>
              <w:pStyle w:val="Compact"/>
              <w:jc w:val="left"/>
            </w:pPr>
            <w:r>
              <w:t xml:space="preserve">Tunnel</w:t>
            </w:r>
          </w:p>
        </w:tc>
        <w:tc>
          <w:p>
            <w:pPr>
              <w:pStyle w:val="Compact"/>
              <w:jc w:val="left"/>
            </w:pPr>
            <w:r>
              <w:t xml:space="preserve">dry</w:t>
            </w:r>
          </w:p>
        </w:tc>
        <w:tc>
          <w:p>
            <w:pPr>
              <w:pStyle w:val="Compact"/>
              <w:jc w:val="right"/>
            </w:pPr>
            <w:r>
              <w:t xml:space="preserve">6.6</w:t>
            </w:r>
          </w:p>
        </w:tc>
        <w:tc>
          <w:p>
            <w:pPr>
              <w:pStyle w:val="Compact"/>
              <w:jc w:val="right"/>
            </w:pPr>
            <w:r>
              <w:t xml:space="preserve">1.0</w:t>
            </w:r>
          </w:p>
        </w:tc>
        <w:tc>
          <w:p>
            <w:pPr>
              <w:pStyle w:val="Compact"/>
              <w:jc w:val="right"/>
            </w:pPr>
            <w:r>
              <w:t xml:space="preserve">15.6</w:t>
            </w:r>
          </w:p>
        </w:tc>
      </w:tr>
      <w:tr>
        <w:tc>
          <w:p>
            <w:pPr>
              <w:pStyle w:val="Compact"/>
              <w:jc w:val="left"/>
            </w:pPr>
            <w:r>
              <w:t xml:space="preserve">Tunnel</w:t>
            </w:r>
          </w:p>
        </w:tc>
        <w:tc>
          <w:p>
            <w:pPr>
              <w:pStyle w:val="Compact"/>
              <w:jc w:val="left"/>
            </w:pPr>
            <w:r>
              <w:t xml:space="preserve">wet</w:t>
            </w:r>
          </w:p>
        </w:tc>
        <w:tc>
          <w:p>
            <w:pPr>
              <w:pStyle w:val="Compact"/>
              <w:jc w:val="right"/>
            </w:pPr>
            <w:r>
              <w:t xml:space="preserve">4.5</w:t>
            </w:r>
          </w:p>
        </w:tc>
        <w:tc>
          <w:p>
            <w:pPr>
              <w:pStyle w:val="Compact"/>
              <w:jc w:val="right"/>
            </w:pPr>
            <w:r>
              <w:t xml:space="preserve">1.7</w:t>
            </w:r>
          </w:p>
        </w:tc>
        <w:tc>
          <w:p>
            <w:pPr>
              <w:pStyle w:val="Compact"/>
              <w:jc w:val="right"/>
            </w:pPr>
            <w:r>
              <w:t xml:space="preserve">38.7</w:t>
            </w:r>
          </w:p>
        </w:tc>
      </w:tr>
    </w:tbl>
    <w:p>
      <w:pPr>
        <w:pStyle w:val="BodyText"/>
      </w:pPr>
      <w:r>
        <w:drawing>
          <wp:inline>
            <wp:extent cx="5943600" cy="4457700"/>
            <wp:effectExtent b="0" l="0" r="0" t="0"/>
            <wp:docPr descr="" title="" id="1" name="Picture"/>
            <a:graphic>
              <a:graphicData uri="http://schemas.openxmlformats.org/drawingml/2006/picture">
                <pic:pic>
                  <pic:nvPicPr>
                    <pic:cNvPr descr="02_DataAnalysis-Visualization_Thesis-UBC-forWater-MSc_HMc_2020-01-31_files/figure-docx/seasonal%20DOC%20table%20and%20ridge%20plot-1.png" id="0" name="Picture"/>
                    <pic:cNvPicPr>
                      <a:picLocks noChangeArrowheads="1" noChangeAspect="1"/>
                    </pic:cNvPicPr>
                  </pic:nvPicPr>
                  <pic:blipFill>
                    <a:blip r:embed="rId28"/>
                    <a:stretch>
                      <a:fillRect/>
                    </a:stretch>
                  </pic:blipFill>
                  <pic:spPr bwMode="auto">
                    <a:xfrm>
                      <a:off x="0" y="0"/>
                      <a:ext cx="5943600" cy="4457700"/>
                    </a:xfrm>
                    <a:prstGeom prst="rect">
                      <a:avLst/>
                    </a:prstGeom>
                    <a:noFill/>
                    <a:ln w="9525">
                      <a:noFill/>
                      <a:headEnd/>
                      <a:tailEnd/>
                    </a:ln>
                  </pic:spPr>
                </pic:pic>
              </a:graphicData>
            </a:graphic>
          </wp:inline>
        </w:drawing>
      </w:r>
    </w:p>
    <w:p>
      <w:pPr>
        <w:pStyle w:val="BodyText"/>
      </w:pPr>
      <w:r>
        <w:drawing>
          <wp:inline>
            <wp:extent cx="4620126" cy="3696101"/>
            <wp:effectExtent b="0" l="0" r="0" t="0"/>
            <wp:docPr descr="" title="" id="1" name="Picture"/>
            <a:graphic>
              <a:graphicData uri="http://schemas.openxmlformats.org/drawingml/2006/picture">
                <pic:pic>
                  <pic:nvPicPr>
                    <pic:cNvPr descr="02_DataAnalysis-Visualization_Thesis-UBC-forWater-MSc_HMc_2020-01-31_files/figure-docx/seasonal%20boxplots-1.png" id="0" name="Picture"/>
                    <pic:cNvPicPr>
                      <a:picLocks noChangeArrowheads="1" noChangeAspect="1"/>
                    </pic:cNvPicPr>
                  </pic:nvPicPr>
                  <pic:blipFill>
                    <a:blip r:embed="rId29"/>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02_DataAnalysis-Visualization_Thesis-UBC-forWater-MSc_HMc_2020-01-31_files/figure-docx/seasonal%20boxplots-2.png" id="0" name="Picture"/>
                    <pic:cNvPicPr>
                      <a:picLocks noChangeArrowheads="1" noChangeAspect="1"/>
                    </pic:cNvPicPr>
                  </pic:nvPicPr>
                  <pic:blipFill>
                    <a:blip r:embed="rId30"/>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02_DataAnalysis-Visualization_Thesis-UBC-forWater-MSc_HMc_2020-01-31_files/figure-docx/seasonal%20boxplots-3.png" id="0" name="Picture"/>
                    <pic:cNvPicPr>
                      <a:picLocks noChangeArrowheads="1" noChangeAspect="1"/>
                    </pic:cNvPicPr>
                  </pic:nvPicPr>
                  <pic:blipFill>
                    <a:blip r:embed="rId31"/>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3"/>
      </w:pPr>
      <w:bookmarkStart w:id="32" w:name="plots-of-doc-proxy"/>
      <w:r>
        <w:t xml:space="preserve">Plots of DOC &amp; proxy</w:t>
      </w:r>
      <w:bookmarkEnd w:id="32"/>
    </w:p>
    <w:p>
      <w:pPr>
        <w:pStyle w:val="FirstParagraph"/>
      </w:pPr>
      <w:r>
        <w:t xml:space="preserve">DOC was quantified as non-purgeable organic carbon (NPOC) on the Shimadzu TOC autoanalyzer, and samples were also measured on a Spectrolyser spectrophotometer. A spectrophotometer can only measure the fraction of organic matter that is able to absorb UV or Visible light, and therefore DOC measured on the Spectrolyser was a measure of CDOM and an indicator of aromaticity (molecular character).</w:t>
      </w:r>
    </w:p>
    <w:p>
      <w:pPr>
        <w:pStyle w:val="BodyText"/>
      </w:pPr>
      <w:r>
        <w:t xml:space="preserve">Figure 6 shows results from all samples comparing DOC concentrations (as NPOC, direct measure) to CDOM concentrations (UV-Vis, proxy measure of DOC). There was a strong seasonal separation of the relationship between these two measurements. These results indicate a seasonally-driven physiochemical difference in the aquatic NOM in this drinking water supply area.</w:t>
      </w:r>
    </w:p>
    <w:p>
      <w:pPr>
        <w:pStyle w:val="BodyText"/>
      </w:pPr>
      <w:r>
        <w:drawing>
          <wp:inline>
            <wp:extent cx="5943600" cy="4457700"/>
            <wp:effectExtent b="0" l="0" r="0" t="0"/>
            <wp:docPr descr="" title="" id="1" name="Picture"/>
            <a:graphic>
              <a:graphicData uri="http://schemas.openxmlformats.org/drawingml/2006/picture">
                <pic:pic>
                  <pic:nvPicPr>
                    <pic:cNvPr descr="02_DataAnalysis-Visualization_Thesis-UBC-forWater-MSc_HMc_2020-01-31_files/figure-docx/DOC%20vs%20CDOM-1.png" id="0" name="Picture"/>
                    <pic:cNvPicPr>
                      <a:picLocks noChangeArrowheads="1" noChangeAspect="1"/>
                    </pic:cNvPicPr>
                  </pic:nvPicPr>
                  <pic:blipFill>
                    <a:blip r:embed="rId33"/>
                    <a:stretch>
                      <a:fillRect/>
                    </a:stretch>
                  </pic:blipFill>
                  <pic:spPr bwMode="auto">
                    <a:xfrm>
                      <a:off x="0" y="0"/>
                      <a:ext cx="5943600" cy="4457700"/>
                    </a:xfrm>
                    <a:prstGeom prst="rect">
                      <a:avLst/>
                    </a:prstGeom>
                    <a:noFill/>
                    <a:ln w="9525">
                      <a:noFill/>
                      <a:headEnd/>
                      <a:tailEnd/>
                    </a:ln>
                  </pic:spPr>
                </pic:pic>
              </a:graphicData>
            </a:graphic>
          </wp:inline>
        </w:drawing>
      </w:r>
    </w:p>
    <w:p>
      <w:pPr>
        <w:pStyle w:val="BodyText"/>
      </w:pPr>
      <w:r>
        <w:t xml:space="preserve">Figure 7 shows the same DOC-CDOM comparison from Figure 6, isolated to the six sub-basin monitoring sites. The seasonal relationship appears similar for the six sites.</w:t>
      </w:r>
    </w:p>
    <w:p>
      <w:pPr>
        <w:pStyle w:val="BodyText"/>
      </w:pPr>
      <w:r>
        <w:drawing>
          <wp:inline>
            <wp:extent cx="5943600" cy="4457700"/>
            <wp:effectExtent b="0" l="0" r="0" t="0"/>
            <wp:docPr descr="" title="" id="1" name="Picture"/>
            <a:graphic>
              <a:graphicData uri="http://schemas.openxmlformats.org/drawingml/2006/picture">
                <pic:pic>
                  <pic:nvPicPr>
                    <pic:cNvPr descr="02_DataAnalysis-Visualization_Thesis-UBC-forWater-MSc_HMc_2020-01-31_files/figure-docx/DOC%20vs%20CDOM%20at%206%20sites-1.png" id="0" name="Picture"/>
                    <pic:cNvPicPr>
                      <a:picLocks noChangeArrowheads="1" noChangeAspect="1"/>
                    </pic:cNvPicPr>
                  </pic:nvPicPr>
                  <pic:blipFill>
                    <a:blip r:embed="rId34"/>
                    <a:stretch>
                      <a:fillRect/>
                    </a:stretch>
                  </pic:blipFill>
                  <pic:spPr bwMode="auto">
                    <a:xfrm>
                      <a:off x="0" y="0"/>
                      <a:ext cx="5943600" cy="4457700"/>
                    </a:xfrm>
                    <a:prstGeom prst="rect">
                      <a:avLst/>
                    </a:prstGeom>
                    <a:noFill/>
                    <a:ln w="9525">
                      <a:noFill/>
                      <a:headEnd/>
                      <a:tailEnd/>
                    </a:ln>
                  </pic:spPr>
                </pic:pic>
              </a:graphicData>
            </a:graphic>
          </wp:inline>
        </w:drawing>
      </w:r>
    </w:p>
    <w:p>
      <w:pPr>
        <w:pStyle w:val="BodyText"/>
      </w:pPr>
      <w:r>
        <w:drawing>
          <wp:inline>
            <wp:extent cx="4620126" cy="3696101"/>
            <wp:effectExtent b="0" l="0" r="0" t="0"/>
            <wp:docPr descr="" title="" id="1" name="Picture"/>
            <a:graphic>
              <a:graphicData uri="http://schemas.openxmlformats.org/drawingml/2006/picture">
                <pic:pic>
                  <pic:nvPicPr>
                    <pic:cNvPr descr="02_DataAnalysis-Visualization_Thesis-UBC-forWater-MSc_HMc_2020-01-31_files/figure-docx/SUVA%20plots%20--%20in%20progress-1.png" id="0" name="Picture"/>
                    <pic:cNvPicPr>
                      <a:picLocks noChangeArrowheads="1" noChangeAspect="1"/>
                    </pic:cNvPicPr>
                  </pic:nvPicPr>
                  <pic:blipFill>
                    <a:blip r:embed="rId35"/>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02_DataAnalysis-Visualization_Thesis-UBC-forWater-MSc_HMc_2020-01-31_files/figure-docx/SUVA%20plots%20--%20in%20progress-2.png" id="0" name="Picture"/>
                    <pic:cNvPicPr>
                      <a:picLocks noChangeArrowheads="1" noChangeAspect="1"/>
                    </pic:cNvPicPr>
                  </pic:nvPicPr>
                  <pic:blipFill>
                    <a:blip r:embed="rId36"/>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02_DataAnalysis-Visualization_Thesis-UBC-forWater-MSc_HMc_2020-01-31_files/figure-docx/SUVA%20plots%20--%20in%20progress-3.png" id="0" name="Picture"/>
                    <pic:cNvPicPr>
                      <a:picLocks noChangeArrowheads="1" noChangeAspect="1"/>
                    </pic:cNvPicPr>
                  </pic:nvPicPr>
                  <pic:blipFill>
                    <a:blip r:embed="rId37"/>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02_DataAnalysis-Visualization_Thesis-UBC-forWater-MSc_HMc_2020-01-31_files/figure-docx/SUVA%20plots%20--%20in%20progress-4.png" id="0" name="Picture"/>
                    <pic:cNvPicPr>
                      <a:picLocks noChangeArrowheads="1" noChangeAspect="1"/>
                    </pic:cNvPicPr>
                  </pic:nvPicPr>
                  <pic:blipFill>
                    <a:blip r:embed="rId38"/>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02_DataAnalysis-Visualization_Thesis-UBC-forWater-MSc_HMc_2020-01-31_files/figure-docx/SUVA%20plots%20--%20in%20progress-5.png" id="0" name="Picture"/>
                    <pic:cNvPicPr>
                      <a:picLocks noChangeArrowheads="1" noChangeAspect="1"/>
                    </pic:cNvPicPr>
                  </pic:nvPicPr>
                  <pic:blipFill>
                    <a:blip r:embed="rId39"/>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02_DataAnalysis-Visualization_Thesis-UBC-forWater-MSc_HMc_2020-01-31_files/figure-docx/SUVA%20plots%20--%20in%20progress-6.png" id="0" name="Picture"/>
                    <pic:cNvPicPr>
                      <a:picLocks noChangeArrowheads="1" noChangeAspect="1"/>
                    </pic:cNvPicPr>
                  </pic:nvPicPr>
                  <pic:blipFill>
                    <a:blip r:embed="rId40"/>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$x</w:t>
      </w:r>
      <w:r>
        <w:br w:type="textWrapping"/>
      </w:r>
      <w:r>
        <w:rPr>
          <w:rStyle w:val="VerbatimChar"/>
        </w:rPr>
        <w:t xml:space="preserve">## [1] "DOC (mg/L as NPOC)"</w:t>
      </w:r>
      <w:r>
        <w:br w:type="textWrapping"/>
      </w:r>
      <w:r>
        <w:rPr>
          <w:rStyle w:val="VerbatimChar"/>
        </w:rPr>
        <w:t xml:space="preserve">## </w:t>
      </w:r>
      <w:r>
        <w:br w:type="textWrapping"/>
      </w:r>
      <w:r>
        <w:rPr>
          <w:rStyle w:val="VerbatimChar"/>
        </w:rPr>
        <w:t xml:space="preserve">## $y</w:t>
      </w:r>
      <w:r>
        <w:br w:type="textWrapping"/>
      </w:r>
      <w:r>
        <w:rPr>
          <w:rStyle w:val="VerbatimChar"/>
        </w:rPr>
        <w:t xml:space="preserve">## [1] "CDOM (mg/L)"</w:t>
      </w:r>
      <w:r>
        <w:br w:type="textWrapping"/>
      </w:r>
      <w:r>
        <w:rPr>
          <w:rStyle w:val="VerbatimChar"/>
        </w:rPr>
        <w:t xml:space="preserve">## </w:t>
      </w:r>
      <w:r>
        <w:br w:type="textWrapping"/>
      </w:r>
      <w:r>
        <w:rPr>
          <w:rStyle w:val="VerbatimChar"/>
        </w:rPr>
        <w:t xml:space="preserve">## $fill</w:t>
      </w:r>
      <w:r>
        <w:br w:type="textWrapping"/>
      </w:r>
      <w:r>
        <w:rPr>
          <w:rStyle w:val="VerbatimChar"/>
        </w:rPr>
        <w:t xml:space="preserve">## [1] "Rack Position:"</w:t>
      </w:r>
      <w:r>
        <w:br w:type="textWrapping"/>
      </w:r>
      <w:r>
        <w:rPr>
          <w:rStyle w:val="VerbatimChar"/>
        </w:rPr>
        <w:t xml:space="preserve">## </w:t>
      </w:r>
      <w:r>
        <w:br w:type="textWrapping"/>
      </w:r>
      <w:r>
        <w:rPr>
          <w:rStyle w:val="VerbatimChar"/>
        </w:rPr>
        <w:t xml:space="preserve">## $caption</w:t>
      </w:r>
      <w:r>
        <w:br w:type="textWrapping"/>
      </w:r>
      <w:r>
        <w:rPr>
          <w:rStyle w:val="VerbatimChar"/>
        </w:rPr>
        <w:t xml:space="preserve">## [1] "Rack sample DOC concentration based on direct (combustion measuring all non-purgeable organic carbon) and proxy (spectrophotometry measuring chromophoric fraction) methods of quantification..."</w:t>
      </w:r>
      <w:r>
        <w:br w:type="textWrapping"/>
      </w:r>
      <w:r>
        <w:rPr>
          <w:rStyle w:val="VerbatimChar"/>
        </w:rPr>
        <w:t xml:space="preserve">## </w:t>
      </w:r>
      <w:r>
        <w:br w:type="textWrapping"/>
      </w:r>
      <w:r>
        <w:rPr>
          <w:rStyle w:val="VerbatimChar"/>
        </w:rPr>
        <w:t xml:space="preserve">## attr(,"class")</w:t>
      </w:r>
      <w:r>
        <w:br w:type="textWrapping"/>
      </w:r>
      <w:r>
        <w:rPr>
          <w:rStyle w:val="VerbatimChar"/>
        </w:rPr>
        <w:t xml:space="preserve">## [1] "labels"</w:t>
      </w:r>
    </w:p>
    <w:p>
      <w:pPr>
        <w:pStyle w:val="FirstParagraph"/>
      </w:pPr>
      <w:r>
        <w:drawing>
          <wp:inline>
            <wp:extent cx="4620126" cy="3696101"/>
            <wp:effectExtent b="0" l="0" r="0" t="0"/>
            <wp:docPr descr="" title="" id="1" name="Picture"/>
            <a:graphic>
              <a:graphicData uri="http://schemas.openxmlformats.org/drawingml/2006/picture">
                <pic:pic>
                  <pic:nvPicPr>
                    <pic:cNvPr descr="02_DataAnalysis-Visualization_Thesis-UBC-forWater-MSc_HMc_2020-01-31_files/figure-docx/SUVA%20plots%20--%20in%20progress-7.png" id="0" name="Picture"/>
                    <pic:cNvPicPr>
                      <a:picLocks noChangeArrowheads="1" noChangeAspect="1"/>
                    </pic:cNvPicPr>
                  </pic:nvPicPr>
                  <pic:blipFill>
                    <a:blip r:embed="rId41"/>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02_DataAnalysis-Visualization_Thesis-UBC-forWater-MSc_HMc_2020-01-31_files/figure-docx/SUVA%20plots%20--%20in%20progress-8.png" id="0" name="Picture"/>
                    <pic:cNvPicPr>
                      <a:picLocks noChangeArrowheads="1" noChangeAspect="1"/>
                    </pic:cNvPicPr>
                  </pic:nvPicPr>
                  <pic:blipFill>
                    <a:blip r:embed="rId42"/>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drawing>
          <wp:inline>
            <wp:extent cx="4620126" cy="3696101"/>
            <wp:effectExtent b="0" l="0" r="0" t="0"/>
            <wp:docPr descr="" title="" id="1" name="Picture"/>
            <a:graphic>
              <a:graphicData uri="http://schemas.openxmlformats.org/drawingml/2006/picture">
                <pic:pic>
                  <pic:nvPicPr>
                    <pic:cNvPr descr="02_DataAnalysis-Visualization_Thesis-UBC-forWater-MSc_HMc_2020-01-31_files/figure-docx/stage%20plots-1.png" id="0" name="Picture"/>
                    <pic:cNvPicPr>
                      <a:picLocks noChangeArrowheads="1" noChangeAspect="1"/>
                    </pic:cNvPicPr>
                  </pic:nvPicPr>
                  <pic:blipFill>
                    <a:blip r:embed="rId43"/>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1"/>
      </w:pPr>
      <w:bookmarkStart w:id="44" w:name="references"/>
      <w:r>
        <w:t xml:space="preserve">References</w:t>
      </w:r>
      <w:bookmarkEnd w:id="44"/>
    </w:p>
    <w:bookmarkStart w:id="51" w:name="refs"/>
    <w:bookmarkStart w:id="46" w:name="ref-Raymond2010"/>
    <w:p>
      <w:pPr>
        <w:pStyle w:val="Bibliography"/>
      </w:pPr>
      <w:r>
        <w:t xml:space="preserve">Raymond, Peter A, James E Saiers, Source Biogeochemistry, No September, Peter A Raymond, and James E Saiers. 2010. “Event controlled DOC export from forested watersheds.”</w:t>
      </w:r>
      <w:r>
        <w:t xml:space="preserve"> </w:t>
      </w:r>
      <w:r>
        <w:rPr>
          <w:i/>
        </w:rPr>
        <w:t xml:space="preserve">Biogeochemistry</w:t>
      </w:r>
      <w:r>
        <w:t xml:space="preserve"> </w:t>
      </w:r>
      <w:r>
        <w:t xml:space="preserve">100 (1): 197–209.</w:t>
      </w:r>
      <w:r>
        <w:t xml:space="preserve"> </w:t>
      </w:r>
      <w:hyperlink r:id="rId45">
        <w:r>
          <w:rPr>
            <w:rStyle w:val="Hyperlink"/>
          </w:rPr>
          <w:t xml:space="preserve">https://doi.org/10.1007/sl0533-010-9416-7</w:t>
        </w:r>
      </w:hyperlink>
      <w:r>
        <w:t xml:space="preserve">.</w:t>
      </w:r>
    </w:p>
    <w:bookmarkEnd w:id="46"/>
    <w:bookmarkStart w:id="48" w:name="ref-Raymond2016"/>
    <w:p>
      <w:pPr>
        <w:pStyle w:val="Bibliography"/>
      </w:pPr>
      <w:r>
        <w:t xml:space="preserve">Raymond, Peter A, James E Saiers, William V Sobczak, and E James. 2016. “Hydrological and biogeochemical controls on watershed dissolved organic matter transport: pulse-shunt concept.”</w:t>
      </w:r>
      <w:r>
        <w:t xml:space="preserve"> </w:t>
      </w:r>
      <w:r>
        <w:rPr>
          <w:i/>
        </w:rPr>
        <w:t xml:space="preserve">Ecology</w:t>
      </w:r>
      <w:r>
        <w:t xml:space="preserve"> </w:t>
      </w:r>
      <w:r>
        <w:t xml:space="preserve">97 (1): 5–16.</w:t>
      </w:r>
      <w:r>
        <w:t xml:space="preserve"> </w:t>
      </w:r>
      <w:hyperlink r:id="rId47">
        <w:r>
          <w:rPr>
            <w:rStyle w:val="Hyperlink"/>
          </w:rPr>
          <w:t xml:space="preserve">https://www.jstor.org/stable/24702986</w:t>
        </w:r>
      </w:hyperlink>
      <w:r>
        <w:t xml:space="preserve">.</w:t>
      </w:r>
    </w:p>
    <w:bookmarkEnd w:id="48"/>
    <w:bookmarkStart w:id="50" w:name="ref-Yang2015"/>
    <w:p>
      <w:pPr>
        <w:pStyle w:val="Bibliography"/>
      </w:pPr>
      <w:r>
        <w:t xml:space="preserve">Yang, Liyang, Jin Hur, Sonmin Lee, Soon Woong Chang, and Hyun Sang Shin. 2015. “Dynamics of dissolved organic matter during four storm events in two forest streams: source, export, and implications for harmful disinfection byproduct formation.”</w:t>
      </w:r>
      <w:r>
        <w:t xml:space="preserve"> </w:t>
      </w:r>
      <w:r>
        <w:rPr>
          <w:i/>
        </w:rPr>
        <w:t xml:space="preserve">Environmental Science and Pollution Research</w:t>
      </w:r>
      <w:r>
        <w:t xml:space="preserve"> </w:t>
      </w:r>
      <w:r>
        <w:t xml:space="preserve">22 (12): 9173–83.</w:t>
      </w:r>
      <w:r>
        <w:t xml:space="preserve"> </w:t>
      </w:r>
      <w:hyperlink r:id="rId49">
        <w:r>
          <w:rPr>
            <w:rStyle w:val="Hyperlink"/>
          </w:rPr>
          <w:t xml:space="preserve">https://doi.org/10.1007/s11356-015-4078-6</w:t>
        </w:r>
      </w:hyperlink>
      <w:r>
        <w:t xml:space="preserve">.</w:t>
      </w:r>
    </w:p>
    <w:bookmarkEnd w:id="50"/>
    <w:bookmarkEnd w:id="51"/>
    <w:sectPr w:rsidR="00A319E1" w:rsidRPr="00D3712C" w:rsidSect="00CC27DB">
      <w:footerReference w:type="default" r:id="rId9"/>
      <w:pgSz w:w="12240" w:h="15840"/>
      <w:pgMar w:top="1440" w:right="1440" w:bottom="1440" w:left="1440" w:header="708" w:footer="708" w:gutter="0"/>
      <w:cols w:space="708"/>
      <w:titlePg/>
      <w:docGrid w:linePitch="3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EFF" w:usb1="C000247B" w:usb2="00000009" w:usb3="00000000" w:csb0="000001FF" w:csb1="00000000"/>
  </w:font>
  <w:font w:name="Ebrima">
    <w:panose1 w:val="02000000000000000000"/>
    <w:charset w:val="00"/>
    <w:family w:val="auto"/>
    <w:pitch w:val="variable"/>
    <w:sig w:usb0="A000005F" w:usb1="02000041" w:usb2="00000800" w:usb3="00000000" w:csb0="00000093" w:csb1="00000000"/>
  </w:font>
  <w:font w:name="Segoe UI Semibold">
    <w:panose1 w:val="020B0702040204020203"/>
    <w:charset w:val="00"/>
    <w:family w:val="swiss"/>
    <w:pitch w:val="variable"/>
    <w:sig w:usb0="E4002EFF" w:usb1="C000E47F"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72440469"/>
      <w:docPartObj>
        <w:docPartGallery w:val="Page Numbers (Bottom of Page)"/>
        <w:docPartUnique/>
      </w:docPartObj>
    </w:sdtPr>
    <w:sdtEndPr>
      <w:rPr>
        <w:noProof/>
      </w:rPr>
    </w:sdtEndPr>
    <w:sdtContent>
      <w:p w:rsidR="00CC27DB" w:rsidRDefault="00D6264D" w:rsidP="000E25D6">
        <w:pPr>
          <w:pStyle w:val="Footer"/>
        </w:pPr>
        <w:r>
          <w:fldChar w:fldCharType="begin"/>
        </w:r>
        <w:r>
          <w:instrText xml:space="preserve"> PAGE   \* MERGEFORMAT </w:instrText>
        </w:r>
        <w:r>
          <w:fldChar w:fldCharType="separate"/>
        </w:r>
        <w:r>
          <w:rPr>
            <w:noProof/>
          </w:rPr>
          <w:t>2</w:t>
        </w:r>
        <w:r>
          <w:rPr>
            <w:noProof/>
          </w:rPr>
          <w:fldChar w:fldCharType="end"/>
        </w:r>
      </w:p>
    </w:sdtContent>
  </w:sdt>
  <w:p w:rsidR="00CC27DB" w:rsidRDefault="000E25D6" w:rsidP="000E25D6">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D0B7250D"/>
    <w:multiLevelType w:val="multilevel"/>
    <w:tmpl w:val="4E5C97D8"/>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
    <w:abstractNumId w:val="0"/>
  </w:num>
  <w:num w:numId="2">
    <w:abstractNumId w:val="0"/>
  </w:num>
  <w:num w:numId="3">
    <w:abstractNumId w:val="0"/>
  </w:num>
  <w:num w:numId="4">
    <w:abstractNumId w:val="0"/>
  </w:num>
  <w:num w:numId="5">
    <w:abstractNumId w:val="0"/>
  </w:num>
  <w:num w:numId="6">
    <w:abstractNumId w:val="0"/>
  </w:num>
  <w:num w:numId="7">
    <w:abstractNumId w:val="0"/>
  </w:num>
  <w:num w:numId="8">
    <w:abstractNumId w:val="0"/>
  </w:num>
  <w:num w:numId="9">
    <w:abstractNumId w:val="0"/>
  </w:num>
  <w:num w:numId="10">
    <w:abstractNumId w:val="0"/>
  </w:num>
  <w:num w:numId="11">
    <w:abstractNumId w:val="0"/>
  </w:num>
  <w:num w:numId="1000">
    <w:abstractNumId w:val="990"/>
  </w:num>
  <w:num w:numId="1001">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HAnsi"/>
        <w:sz w:val="24"/>
        <w:szCs w:val="24"/>
        <w:lang w:val="en-CA" w:eastAsia="en-US" w:bidi="ar-SA"/>
      </w:rPr>
    </w:rPrDefault>
    <w:pPrDefault>
      <w:pPr>
        <w:spacing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E25D6"/>
    <w:pPr>
      <w:spacing w:before="240"/>
    </w:pPr>
    <w:rPr>
      <w:rFonts w:ascii="Ebrima" w:hAnsi="Ebrima"/>
    </w:rPr>
  </w:style>
  <w:style w:type="paragraph" w:styleId="Heading1">
    <w:name w:val="heading 1"/>
    <w:basedOn w:val="Normal"/>
    <w:next w:val="Normal"/>
    <w:link w:val="Heading1Char"/>
    <w:uiPriority w:val="9"/>
    <w:qFormat/>
    <w:rsid w:val="00CC27DB"/>
    <w:pPr>
      <w:keepNext/>
      <w:keepLines/>
      <w:pageBreakBefore/>
      <w:pBdr>
        <w:bottom w:val="single" w:sz="4" w:space="1" w:color="595959" w:themeColor="text1" w:themeTint="A6"/>
      </w:pBdr>
      <w:spacing w:after="240"/>
      <w:outlineLvl w:val="0"/>
    </w:pPr>
    <w:rPr>
      <w:rFonts w:ascii="Segoe UI Semibold" w:eastAsiaTheme="majorEastAsia" w:hAnsi="Segoe UI Semibold" w:cs="Segoe UI Semibold"/>
      <w:sz w:val="28"/>
      <w:szCs w:val="32"/>
    </w:rPr>
  </w:style>
  <w:style w:type="paragraph" w:styleId="Heading2">
    <w:name w:val="heading 2"/>
    <w:basedOn w:val="Normal"/>
    <w:next w:val="Normal"/>
    <w:link w:val="Heading2Char"/>
    <w:uiPriority w:val="9"/>
    <w:unhideWhenUsed/>
    <w:qFormat/>
    <w:rsid w:val="00CC27DB"/>
    <w:pPr>
      <w:keepNext/>
      <w:keepLines/>
      <w:spacing w:after="240"/>
      <w:outlineLvl w:val="1"/>
    </w:pPr>
    <w:rPr>
      <w:rFonts w:ascii="Segoe UI Semibold" w:eastAsiaTheme="majorEastAsia" w:hAnsi="Segoe UI Semibold" w:cs="Segoe UI Semibold"/>
      <w:sz w:val="26"/>
      <w:szCs w:val="26"/>
    </w:rPr>
  </w:style>
  <w:style w:type="paragraph" w:styleId="Heading3">
    <w:name w:val="heading 3"/>
    <w:basedOn w:val="Normal"/>
    <w:next w:val="Normal"/>
    <w:link w:val="Heading3Char"/>
    <w:uiPriority w:val="9"/>
    <w:unhideWhenUsed/>
    <w:qFormat/>
    <w:rsid w:val="00CC27DB"/>
    <w:pPr>
      <w:keepNext/>
      <w:keepLines/>
      <w:spacing w:before="40" w:after="240"/>
      <w:outlineLvl w:val="2"/>
    </w:pPr>
    <w:rPr>
      <w:rFonts w:ascii="Segoe UI" w:eastAsiaTheme="majorEastAsia" w:hAnsi="Segoe UI" w:cs="Segoe UI"/>
      <w:b/>
      <w:szCs w:val="28"/>
    </w:rPr>
  </w:style>
  <w:style w:type="paragraph" w:styleId="Heading4">
    <w:name w:val="heading 4"/>
    <w:basedOn w:val="Normal"/>
    <w:next w:val="Normal"/>
    <w:link w:val="Heading4Char"/>
    <w:uiPriority w:val="9"/>
    <w:unhideWhenUsed/>
    <w:qFormat/>
    <w:rsid w:val="002F4D37"/>
    <w:pPr>
      <w:keepNext/>
      <w:keepLines/>
      <w:outlineLvl w:val="3"/>
    </w:pPr>
    <w:rPr>
      <w:rFonts w:ascii="Segoe UI" w:eastAsiaTheme="majorEastAsia" w:hAnsi="Segoe UI" w:cs="Segoe UI"/>
      <w:b/>
      <w:i/>
      <w:iCs/>
      <w:szCs w:val="28"/>
    </w:rPr>
  </w:style>
  <w:style w:type="paragraph" w:styleId="Heading5">
    <w:name w:val="heading 5"/>
    <w:basedOn w:val="Heading4"/>
    <w:next w:val="Normal"/>
    <w:link w:val="Heading5Char"/>
    <w:uiPriority w:val="9"/>
    <w:unhideWhenUsed/>
    <w:qFormat/>
    <w:rsid w:val="007E4872"/>
    <w:pPr>
      <w:outlineLvl w:val="4"/>
    </w:pPr>
    <w:rPr>
      <w:rFonts w:ascii="Segoe UI Semibold" w:hAnsi="Segoe UI Semibold" w:cs="Segoe UI Semibold"/>
      <w:b w:val="0"/>
      <w:i w:val="0"/>
      <w:szCs w:val="24"/>
      <w:u w:val="single"/>
    </w:rPr>
  </w:style>
  <w:style w:type="paragraph" w:styleId="Heading6">
    <w:name w:val="heading 6"/>
    <w:basedOn w:val="Normal"/>
    <w:next w:val="Normal"/>
    <w:link w:val="Heading6Char"/>
    <w:uiPriority w:val="9"/>
    <w:unhideWhenUsed/>
    <w:qFormat/>
    <w:rsid w:val="007E4872"/>
    <w:pPr>
      <w:outlineLvl w:val="5"/>
    </w:pPr>
    <w:rPr>
      <w:rFonts w:ascii="Segoe UI Semibold" w:hAnsi="Segoe UI Semibold" w:cs="Segoe UI Semibold"/>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CC27DB"/>
    <w:pPr>
      <w:spacing w:before="2040" w:after="480" w:line="240" w:lineRule="auto"/>
      <w:contextualSpacing/>
    </w:pPr>
    <w:rPr>
      <w:rFonts w:eastAsiaTheme="majorEastAsia" w:cstheme="majorBidi"/>
      <w:spacing w:val="-10"/>
      <w:kern w:val="28"/>
      <w:sz w:val="40"/>
      <w:szCs w:val="56"/>
    </w:rPr>
  </w:style>
  <w:style w:type="character" w:customStyle="1" w:styleId="TitleChar">
    <w:name w:val="Title Char"/>
    <w:basedOn w:val="DefaultParagraphFont"/>
    <w:link w:val="Title"/>
    <w:uiPriority w:val="10"/>
    <w:rsid w:val="00CC27DB"/>
    <w:rPr>
      <w:rFonts w:ascii="Ebrima" w:eastAsiaTheme="majorEastAsia" w:hAnsi="Ebrima" w:cstheme="majorBidi"/>
      <w:spacing w:val="-10"/>
      <w:kern w:val="28"/>
      <w:sz w:val="40"/>
      <w:szCs w:val="56"/>
    </w:rPr>
  </w:style>
  <w:style w:type="paragraph" w:styleId="Subtitle">
    <w:name w:val="Subtitle"/>
    <w:basedOn w:val="Normal"/>
    <w:next w:val="Normal"/>
    <w:link w:val="SubtitleChar"/>
    <w:uiPriority w:val="11"/>
    <w:qFormat/>
    <w:rsid w:val="00CC27DB"/>
    <w:pPr>
      <w:numPr>
        <w:ilvl w:val="1"/>
      </w:numPr>
      <w:spacing w:after="960"/>
    </w:pPr>
    <w:rPr>
      <w:rFonts w:eastAsiaTheme="minorEastAsia" w:cstheme="minorBidi"/>
      <w:color w:val="5A5A5A" w:themeColor="text1" w:themeTint="A5"/>
      <w:spacing w:val="15"/>
      <w:sz w:val="28"/>
      <w:szCs w:val="22"/>
    </w:rPr>
  </w:style>
  <w:style w:type="character" w:customStyle="1" w:styleId="SubtitleChar">
    <w:name w:val="Subtitle Char"/>
    <w:basedOn w:val="DefaultParagraphFont"/>
    <w:link w:val="Subtitle"/>
    <w:uiPriority w:val="11"/>
    <w:rsid w:val="00CC27DB"/>
    <w:rPr>
      <w:rFonts w:ascii="Ebrima" w:eastAsiaTheme="minorEastAsia" w:hAnsi="Ebrima" w:cstheme="minorBidi"/>
      <w:color w:val="5A5A5A" w:themeColor="text1" w:themeTint="A5"/>
      <w:spacing w:val="15"/>
      <w:sz w:val="28"/>
      <w:szCs w:val="22"/>
    </w:rPr>
  </w:style>
  <w:style w:type="paragraph" w:styleId="Quote">
    <w:name w:val="Quote"/>
    <w:basedOn w:val="IntenseQuote"/>
    <w:next w:val="Normal"/>
    <w:link w:val="QuoteChar"/>
    <w:uiPriority w:val="29"/>
    <w:qFormat/>
    <w:rsid w:val="0068354C"/>
  </w:style>
  <w:style w:type="character" w:customStyle="1" w:styleId="QuoteChar">
    <w:name w:val="Quote Char"/>
    <w:basedOn w:val="DefaultParagraphFont"/>
    <w:link w:val="Quote"/>
    <w:uiPriority w:val="29"/>
    <w:rsid w:val="0068354C"/>
    <w:rPr>
      <w:rFonts w:ascii="Ebrima" w:hAnsi="Ebrima"/>
      <w:i/>
      <w:iCs/>
      <w:color w:val="0D0D0D" w:themeColor="text1" w:themeTint="F2"/>
    </w:rPr>
  </w:style>
  <w:style w:type="character" w:customStyle="1" w:styleId="Heading1Char">
    <w:name w:val="Heading 1 Char"/>
    <w:basedOn w:val="DefaultParagraphFont"/>
    <w:link w:val="Heading1"/>
    <w:uiPriority w:val="9"/>
    <w:rsid w:val="00CC27DB"/>
    <w:rPr>
      <w:rFonts w:ascii="Segoe UI Semibold" w:eastAsiaTheme="majorEastAsia" w:hAnsi="Segoe UI Semibold" w:cs="Segoe UI Semibold"/>
      <w:sz w:val="28"/>
      <w:szCs w:val="32"/>
    </w:rPr>
  </w:style>
  <w:style w:type="character" w:customStyle="1" w:styleId="Heading2Char">
    <w:name w:val="Heading 2 Char"/>
    <w:basedOn w:val="DefaultParagraphFont"/>
    <w:link w:val="Heading2"/>
    <w:uiPriority w:val="9"/>
    <w:rsid w:val="00CC27DB"/>
    <w:rPr>
      <w:rFonts w:ascii="Segoe UI Semibold" w:eastAsiaTheme="majorEastAsia" w:hAnsi="Segoe UI Semibold" w:cs="Segoe UI Semibold"/>
      <w:sz w:val="26"/>
      <w:szCs w:val="26"/>
    </w:rPr>
  </w:style>
  <w:style w:type="character" w:customStyle="1" w:styleId="Heading3Char">
    <w:name w:val="Heading 3 Char"/>
    <w:basedOn w:val="DefaultParagraphFont"/>
    <w:link w:val="Heading3"/>
    <w:uiPriority w:val="9"/>
    <w:rsid w:val="00CC27DB"/>
    <w:rPr>
      <w:rFonts w:ascii="Segoe UI" w:eastAsiaTheme="majorEastAsia" w:hAnsi="Segoe UI" w:cs="Segoe UI"/>
      <w:b/>
      <w:szCs w:val="28"/>
    </w:rPr>
  </w:style>
  <w:style w:type="character" w:customStyle="1" w:styleId="Heading4Char">
    <w:name w:val="Heading 4 Char"/>
    <w:basedOn w:val="DefaultParagraphFont"/>
    <w:link w:val="Heading4"/>
    <w:uiPriority w:val="9"/>
    <w:rsid w:val="002F4D37"/>
    <w:rPr>
      <w:rFonts w:ascii="Segoe UI" w:eastAsiaTheme="majorEastAsia" w:hAnsi="Segoe UI" w:cs="Segoe UI"/>
      <w:b/>
      <w:i/>
      <w:iCs/>
      <w:szCs w:val="28"/>
    </w:rPr>
  </w:style>
  <w:style w:type="paragraph" w:styleId="IntenseQuote">
    <w:name w:val="Intense Quote"/>
    <w:basedOn w:val="Normal"/>
    <w:next w:val="Normal"/>
    <w:link w:val="IntenseQuoteChar"/>
    <w:uiPriority w:val="30"/>
    <w:qFormat/>
    <w:rsid w:val="00273815"/>
    <w:pPr>
      <w:pBdr>
        <w:top w:val="single" w:sz="4" w:space="10" w:color="595959" w:themeColor="text1" w:themeTint="A6"/>
        <w:bottom w:val="single" w:sz="4" w:space="10" w:color="595959" w:themeColor="text1" w:themeTint="A6"/>
      </w:pBdr>
      <w:spacing w:before="360" w:after="360"/>
      <w:ind w:left="864" w:right="864"/>
      <w:jc w:val="center"/>
    </w:pPr>
    <w:rPr>
      <w:i/>
      <w:iCs/>
      <w:color w:val="0D0D0D" w:themeColor="text1" w:themeTint="F2"/>
    </w:rPr>
  </w:style>
  <w:style w:type="character" w:customStyle="1" w:styleId="IntenseQuoteChar">
    <w:name w:val="Intense Quote Char"/>
    <w:basedOn w:val="DefaultParagraphFont"/>
    <w:link w:val="IntenseQuote"/>
    <w:uiPriority w:val="30"/>
    <w:rsid w:val="00273815"/>
    <w:rPr>
      <w:rFonts w:ascii="Ebrima" w:hAnsi="Ebrima"/>
      <w:i/>
      <w:iCs/>
      <w:color w:val="0D0D0D" w:themeColor="text1" w:themeTint="F2"/>
    </w:rPr>
  </w:style>
  <w:style w:type="character" w:customStyle="1" w:styleId="Heading5Char">
    <w:name w:val="Heading 5 Char"/>
    <w:basedOn w:val="DefaultParagraphFont"/>
    <w:link w:val="Heading5"/>
    <w:uiPriority w:val="9"/>
    <w:rsid w:val="007E4872"/>
    <w:rPr>
      <w:rFonts w:ascii="Segoe UI Semibold" w:eastAsiaTheme="majorEastAsia" w:hAnsi="Segoe UI Semibold" w:cs="Segoe UI Semibold"/>
      <w:iCs/>
      <w:u w:val="single"/>
    </w:rPr>
  </w:style>
  <w:style w:type="paragraph" w:styleId="Header">
    <w:name w:val="header"/>
    <w:basedOn w:val="Normal"/>
    <w:link w:val="HeaderChar"/>
    <w:uiPriority w:val="99"/>
    <w:unhideWhenUsed/>
    <w:rsid w:val="003F4372"/>
    <w:pPr>
      <w:tabs>
        <w:tab w:val="center" w:pos="4680"/>
        <w:tab w:val="right" w:pos="9360"/>
      </w:tabs>
      <w:spacing w:line="240" w:lineRule="auto"/>
    </w:pPr>
  </w:style>
  <w:style w:type="character" w:customStyle="1" w:styleId="HeaderChar">
    <w:name w:val="Header Char"/>
    <w:basedOn w:val="DefaultParagraphFont"/>
    <w:link w:val="Header"/>
    <w:uiPriority w:val="99"/>
    <w:rsid w:val="003F4372"/>
    <w:rPr>
      <w:rFonts w:ascii="Ebrima" w:hAnsi="Ebrima"/>
    </w:rPr>
  </w:style>
  <w:style w:type="paragraph" w:styleId="Footer">
    <w:name w:val="footer"/>
    <w:basedOn w:val="Normal"/>
    <w:link w:val="FooterChar"/>
    <w:uiPriority w:val="99"/>
    <w:unhideWhenUsed/>
    <w:rsid w:val="003F4372"/>
    <w:pPr>
      <w:tabs>
        <w:tab w:val="center" w:pos="4680"/>
        <w:tab w:val="right" w:pos="9360"/>
      </w:tabs>
      <w:spacing w:line="240" w:lineRule="auto"/>
    </w:pPr>
  </w:style>
  <w:style w:type="character" w:customStyle="1" w:styleId="FooterChar">
    <w:name w:val="Footer Char"/>
    <w:basedOn w:val="DefaultParagraphFont"/>
    <w:link w:val="Footer"/>
    <w:uiPriority w:val="99"/>
    <w:rsid w:val="003F4372"/>
    <w:rPr>
      <w:rFonts w:ascii="Ebrima" w:hAnsi="Ebrima"/>
    </w:rPr>
  </w:style>
  <w:style w:type="character" w:customStyle="1" w:styleId="Heading6Char">
    <w:name w:val="Heading 6 Char"/>
    <w:basedOn w:val="DefaultParagraphFont"/>
    <w:link w:val="Heading6"/>
    <w:uiPriority w:val="9"/>
    <w:rsid w:val="007E4872"/>
    <w:rPr>
      <w:rFonts w:ascii="Segoe UI Semibold" w:hAnsi="Segoe UI Semibold" w:cs="Segoe UI Semibold"/>
    </w:rPr>
  </w:style>
  <w:style w:type="paragraph" w:styleId="TOC1">
    <w:name w:val="toc 1"/>
    <w:basedOn w:val="Normal"/>
    <w:next w:val="Normal"/>
    <w:autoRedefine/>
    <w:uiPriority w:val="39"/>
    <w:unhideWhenUsed/>
    <w:rsid w:val="00CC27DB"/>
    <w:pPr>
      <w:tabs>
        <w:tab w:val="right" w:leader="dot" w:pos="9350"/>
      </w:tabs>
      <w:spacing w:before="360"/>
    </w:pPr>
    <w:rPr>
      <w:rFonts w:ascii="Segoe UI" w:hAnsi="Segoe UI" w:cs="Segoe UI"/>
      <w:b/>
      <w:bCs/>
      <w:caps/>
      <w:noProof/>
    </w:rPr>
  </w:style>
  <w:style w:type="paragraph" w:styleId="TOC2">
    <w:name w:val="toc 2"/>
    <w:basedOn w:val="Normal"/>
    <w:next w:val="Normal"/>
    <w:autoRedefine/>
    <w:uiPriority w:val="39"/>
    <w:unhideWhenUsed/>
    <w:rsid w:val="00CC27DB"/>
    <w:pPr>
      <w:tabs>
        <w:tab w:val="right" w:leader="dot" w:pos="9350"/>
      </w:tabs>
    </w:pPr>
    <w:rPr>
      <w:rFonts w:ascii="Segoe UI" w:hAnsi="Segoe UI" w:cs="Segoe UI"/>
      <w:b/>
      <w:bCs/>
      <w:noProof/>
      <w:sz w:val="20"/>
      <w:szCs w:val="20"/>
    </w:rPr>
  </w:style>
  <w:style w:type="paragraph" w:styleId="TOC3">
    <w:name w:val="toc 3"/>
    <w:basedOn w:val="Normal"/>
    <w:next w:val="Normal"/>
    <w:autoRedefine/>
    <w:uiPriority w:val="39"/>
    <w:unhideWhenUsed/>
    <w:rsid w:val="00CC27DB"/>
    <w:pPr>
      <w:tabs>
        <w:tab w:val="right" w:leader="dot" w:pos="9350"/>
      </w:tabs>
      <w:ind w:left="240"/>
    </w:pPr>
    <w:rPr>
      <w:rFonts w:ascii="Segoe UI" w:hAnsi="Segoe UI" w:cs="Segoe UI"/>
      <w:noProof/>
      <w:sz w:val="20"/>
      <w:szCs w:val="20"/>
    </w:rPr>
  </w:style>
  <w:style w:type="paragraph" w:styleId="TOC4">
    <w:name w:val="toc 4"/>
    <w:basedOn w:val="Normal"/>
    <w:next w:val="Normal"/>
    <w:autoRedefine/>
    <w:uiPriority w:val="39"/>
    <w:unhideWhenUsed/>
    <w:rsid w:val="00CE7188"/>
    <w:pPr>
      <w:ind w:left="480"/>
    </w:pPr>
    <w:rPr>
      <w:rFonts w:asciiTheme="minorHAnsi" w:hAnsiTheme="minorHAnsi"/>
      <w:sz w:val="20"/>
      <w:szCs w:val="20"/>
    </w:rPr>
  </w:style>
  <w:style w:type="paragraph" w:styleId="TOC5">
    <w:name w:val="toc 5"/>
    <w:basedOn w:val="Normal"/>
    <w:next w:val="Normal"/>
    <w:autoRedefine/>
    <w:uiPriority w:val="39"/>
    <w:unhideWhenUsed/>
    <w:rsid w:val="00CE7188"/>
    <w:pPr>
      <w:ind w:left="720"/>
    </w:pPr>
    <w:rPr>
      <w:rFonts w:asciiTheme="minorHAnsi" w:hAnsiTheme="minorHAnsi"/>
      <w:sz w:val="20"/>
      <w:szCs w:val="20"/>
    </w:rPr>
  </w:style>
  <w:style w:type="paragraph" w:styleId="TOC6">
    <w:name w:val="toc 6"/>
    <w:basedOn w:val="Normal"/>
    <w:next w:val="Normal"/>
    <w:autoRedefine/>
    <w:uiPriority w:val="39"/>
    <w:unhideWhenUsed/>
    <w:rsid w:val="00CE7188"/>
    <w:pPr>
      <w:ind w:left="960"/>
    </w:pPr>
    <w:rPr>
      <w:rFonts w:asciiTheme="minorHAnsi" w:hAnsiTheme="minorHAnsi"/>
      <w:sz w:val="20"/>
      <w:szCs w:val="20"/>
    </w:rPr>
  </w:style>
  <w:style w:type="paragraph" w:styleId="TOC7">
    <w:name w:val="toc 7"/>
    <w:basedOn w:val="Normal"/>
    <w:next w:val="Normal"/>
    <w:autoRedefine/>
    <w:uiPriority w:val="39"/>
    <w:unhideWhenUsed/>
    <w:rsid w:val="00CE7188"/>
    <w:pPr>
      <w:ind w:left="1200"/>
    </w:pPr>
    <w:rPr>
      <w:rFonts w:asciiTheme="minorHAnsi" w:hAnsiTheme="minorHAnsi"/>
      <w:sz w:val="20"/>
      <w:szCs w:val="20"/>
    </w:rPr>
  </w:style>
  <w:style w:type="paragraph" w:styleId="TOC8">
    <w:name w:val="toc 8"/>
    <w:basedOn w:val="Normal"/>
    <w:next w:val="Normal"/>
    <w:autoRedefine/>
    <w:uiPriority w:val="39"/>
    <w:unhideWhenUsed/>
    <w:rsid w:val="00CE7188"/>
    <w:pPr>
      <w:ind w:left="1440"/>
    </w:pPr>
    <w:rPr>
      <w:rFonts w:asciiTheme="minorHAnsi" w:hAnsiTheme="minorHAnsi"/>
      <w:sz w:val="20"/>
      <w:szCs w:val="20"/>
    </w:rPr>
  </w:style>
  <w:style w:type="paragraph" w:styleId="TOC9">
    <w:name w:val="toc 9"/>
    <w:basedOn w:val="Normal"/>
    <w:next w:val="Normal"/>
    <w:autoRedefine/>
    <w:uiPriority w:val="39"/>
    <w:unhideWhenUsed/>
    <w:rsid w:val="00CE7188"/>
    <w:pPr>
      <w:ind w:left="1680"/>
    </w:pPr>
    <w:rPr>
      <w:rFonts w:asciiTheme="minorHAnsi" w:hAnsiTheme="minorHAnsi"/>
      <w:sz w:val="20"/>
      <w:szCs w:val="20"/>
    </w:rPr>
  </w:style>
  <w:style w:type="character" w:styleId="Hyperlink">
    <w:name w:val="Hyperlink"/>
    <w:basedOn w:val="DefaultParagraphFont"/>
    <w:uiPriority w:val="99"/>
    <w:unhideWhenUsed/>
    <w:rsid w:val="00CE7188"/>
    <w:rPr>
      <w:color w:val="0563C1" w:themeColor="hyperlink"/>
      <w:u w:val="single"/>
    </w:rPr>
  </w:style>
  <w:style w:type="paragraph" w:customStyle="1" w:styleId="SourceCode">
    <w:name w:val="Source Code"/>
    <w:basedOn w:val="Normal"/>
    <w:pPr>
      <w:shd w:val="clear" w:color="auto" w:fill="F8F8F8"/>
      <w:wordWrap w:val="0"/>
    </w:pPr>
  </w:style>
  <w:style w:type="character" w:customStyle="1" w:styleId="KeywordTok">
    <w:name w:val="KeywordTok"/>
    <w:rPr>
      <w:b/>
      <w:color w:val="204A87"/>
      <w:shd w:val="clear" w:color="auto" w:fill="F8F8F8"/>
    </w:rPr>
  </w:style>
  <w:style w:type="character" w:customStyle="1" w:styleId="DataTypeTok">
    <w:name w:val="DataTypeTok"/>
    <w:rPr>
      <w:color w:val="204A87"/>
      <w:shd w:val="clear" w:color="auto" w:fill="F8F8F8"/>
    </w:rPr>
  </w:style>
  <w:style w:type="character" w:customStyle="1" w:styleId="DecValTok">
    <w:name w:val="DecValTok"/>
    <w:rPr>
      <w:color w:val="0000CF"/>
      <w:shd w:val="clear" w:color="auto" w:fill="F8F8F8"/>
    </w:rPr>
  </w:style>
  <w:style w:type="character" w:customStyle="1" w:styleId="BaseNTok">
    <w:name w:val="BaseNTok"/>
    <w:rPr>
      <w:color w:val="0000CF"/>
      <w:shd w:val="clear" w:color="auto" w:fill="F8F8F8"/>
    </w:rPr>
  </w:style>
  <w:style w:type="character" w:customStyle="1" w:styleId="FloatTok">
    <w:name w:val="FloatTok"/>
    <w:rPr>
      <w:color w:val="0000CF"/>
      <w:shd w:val="clear" w:color="auto" w:fill="F8F8F8"/>
    </w:rPr>
  </w:style>
  <w:style w:type="character" w:customStyle="1" w:styleId="ConstantTok">
    <w:name w:val="ConstantTok"/>
    <w:rPr>
      <w:color w:val="000000"/>
      <w:shd w:val="clear" w:color="auto" w:fill="F8F8F8"/>
    </w:rPr>
  </w:style>
  <w:style w:type="character" w:customStyle="1" w:styleId="CharTok">
    <w:name w:val="CharTok"/>
    <w:rPr>
      <w:color w:val="4E9A06"/>
      <w:shd w:val="clear" w:color="auto" w:fill="F8F8F8"/>
    </w:rPr>
  </w:style>
  <w:style w:type="character" w:customStyle="1" w:styleId="SpecialCharTok">
    <w:name w:val="SpecialCharTok"/>
    <w:rPr>
      <w:color w:val="000000"/>
      <w:shd w:val="clear" w:color="auto" w:fill="F8F8F8"/>
    </w:rPr>
  </w:style>
  <w:style w:type="character" w:customStyle="1" w:styleId="StringTok">
    <w:name w:val="StringTok"/>
    <w:rPr>
      <w:color w:val="4E9A06"/>
      <w:shd w:val="clear" w:color="auto" w:fill="F8F8F8"/>
    </w:rPr>
  </w:style>
  <w:style w:type="character" w:customStyle="1" w:styleId="VerbatimStringTok">
    <w:name w:val="VerbatimStringTok"/>
    <w:rPr>
      <w:color w:val="4E9A06"/>
      <w:shd w:val="clear" w:color="auto" w:fill="F8F8F8"/>
    </w:rPr>
  </w:style>
  <w:style w:type="character" w:customStyle="1" w:styleId="SpecialStringTok">
    <w:name w:val="SpecialStringTok"/>
    <w:rPr>
      <w:color w:val="4E9A06"/>
      <w:shd w:val="clear" w:color="auto" w:fill="F8F8F8"/>
    </w:rPr>
  </w:style>
  <w:style w:type="character" w:customStyle="1" w:styleId="ImportTok">
    <w:name w:val="ImportTok"/>
    <w:rPr>
      <w:shd w:val="clear" w:color="auto" w:fill="F8F8F8"/>
    </w:rPr>
  </w:style>
  <w:style w:type="character" w:customStyle="1" w:styleId="CommentTok">
    <w:name w:val="CommentTok"/>
    <w:rPr>
      <w:i/>
      <w:color w:val="8F5902"/>
      <w:shd w:val="clear" w:color="auto" w:fill="F8F8F8"/>
    </w:rPr>
  </w:style>
  <w:style w:type="character" w:customStyle="1" w:styleId="DocumentationTok">
    <w:name w:val="DocumentationTok"/>
    <w:rPr>
      <w:b/>
      <w:i/>
      <w:color w:val="8F5902"/>
      <w:shd w:val="clear" w:color="auto" w:fill="F8F8F8"/>
    </w:rPr>
  </w:style>
  <w:style w:type="character" w:customStyle="1" w:styleId="AnnotationTok">
    <w:name w:val="AnnotationTok"/>
    <w:rPr>
      <w:b/>
      <w:i/>
      <w:color w:val="8F5902"/>
      <w:shd w:val="clear" w:color="auto" w:fill="F8F8F8"/>
    </w:rPr>
  </w:style>
  <w:style w:type="character" w:customStyle="1" w:styleId="CommentVarTok">
    <w:name w:val="CommentVarTok"/>
    <w:rPr>
      <w:b/>
      <w:i/>
      <w:color w:val="8F5902"/>
      <w:shd w:val="clear" w:color="auto" w:fill="F8F8F8"/>
    </w:rPr>
  </w:style>
  <w:style w:type="character" w:customStyle="1" w:styleId="OtherTok">
    <w:name w:val="OtherTok"/>
    <w:rPr>
      <w:color w:val="8F5902"/>
      <w:shd w:val="clear" w:color="auto" w:fill="F8F8F8"/>
    </w:rPr>
  </w:style>
  <w:style w:type="character" w:customStyle="1" w:styleId="FunctionTok">
    <w:name w:val="FunctionTok"/>
    <w:rPr>
      <w:color w:val="000000"/>
      <w:shd w:val="clear" w:color="auto" w:fill="F8F8F8"/>
    </w:rPr>
  </w:style>
  <w:style w:type="character" w:customStyle="1" w:styleId="VariableTok">
    <w:name w:val="VariableTok"/>
    <w:rPr>
      <w:color w:val="000000"/>
      <w:shd w:val="clear" w:color="auto" w:fill="F8F8F8"/>
    </w:rPr>
  </w:style>
  <w:style w:type="character" w:customStyle="1" w:styleId="ControlFlowTok">
    <w:name w:val="ControlFlowTok"/>
    <w:rPr>
      <w:b/>
      <w:color w:val="204A87"/>
      <w:shd w:val="clear" w:color="auto" w:fill="F8F8F8"/>
    </w:rPr>
  </w:style>
  <w:style w:type="character" w:customStyle="1" w:styleId="OperatorTok">
    <w:name w:val="OperatorTok"/>
    <w:rPr>
      <w:b/>
      <w:color w:val="CE5C00"/>
      <w:shd w:val="clear" w:color="auto" w:fill="F8F8F8"/>
    </w:rPr>
  </w:style>
  <w:style w:type="character" w:customStyle="1" w:styleId="BuiltInTok">
    <w:name w:val="BuiltInTok"/>
    <w:rPr>
      <w:shd w:val="clear" w:color="auto" w:fill="F8F8F8"/>
    </w:rPr>
  </w:style>
  <w:style w:type="character" w:customStyle="1" w:styleId="ExtensionTok">
    <w:name w:val="ExtensionTok"/>
    <w:rPr>
      <w:shd w:val="clear" w:color="auto" w:fill="F8F8F8"/>
    </w:rPr>
  </w:style>
  <w:style w:type="character" w:customStyle="1" w:styleId="PreprocessorTok">
    <w:name w:val="PreprocessorTok"/>
    <w:rPr>
      <w:i/>
      <w:color w:val="8F5902"/>
      <w:shd w:val="clear" w:color="auto" w:fill="F8F8F8"/>
    </w:rPr>
  </w:style>
  <w:style w:type="character" w:customStyle="1" w:styleId="AttributeTok">
    <w:name w:val="AttributeTok"/>
    <w:rPr>
      <w:color w:val="C4A000"/>
      <w:shd w:val="clear" w:color="auto" w:fill="F8F8F8"/>
    </w:rPr>
  </w:style>
  <w:style w:type="character" w:customStyle="1" w:styleId="RegionMarkerTok">
    <w:name w:val="RegionMarkerTok"/>
    <w:rPr>
      <w:shd w:val="clear" w:color="auto" w:fill="F8F8F8"/>
    </w:rPr>
  </w:style>
  <w:style w:type="character" w:customStyle="1" w:styleId="InformationTok">
    <w:name w:val="InformationTok"/>
    <w:rPr>
      <w:b/>
      <w:i/>
      <w:color w:val="8F5902"/>
      <w:shd w:val="clear" w:color="auto" w:fill="F8F8F8"/>
    </w:rPr>
  </w:style>
  <w:style w:type="character" w:customStyle="1" w:styleId="WarningTok">
    <w:name w:val="WarningTok"/>
    <w:rPr>
      <w:b/>
      <w:i/>
      <w:color w:val="8F5902"/>
      <w:shd w:val="clear" w:color="auto" w:fill="F8F8F8"/>
    </w:rPr>
  </w:style>
  <w:style w:type="character" w:customStyle="1" w:styleId="AlertTok">
    <w:name w:val="AlertTok"/>
    <w:rPr>
      <w:color w:val="EF2929"/>
      <w:shd w:val="clear" w:color="auto" w:fill="F8F8F8"/>
    </w:rPr>
  </w:style>
  <w:style w:type="character" w:customStyle="1" w:styleId="ErrorTok">
    <w:name w:val="ErrorTok"/>
    <w:rPr>
      <w:b/>
      <w:color w:val="A40000"/>
      <w:shd w:val="clear" w:color="auto" w:fill="F8F8F8"/>
    </w:rPr>
  </w:style>
  <w:style w:type="character" w:customStyle="1" w:styleId="NormalTok">
    <w:name w:val="NormalTok"/>
    <w:rPr>
      <w:shd w:val="clear" w:color="auto" w:fill="F8F8F8"/>
    </w:rPr>
  </w:style>
  <w:style w:type="paragraph" w:styleId="BalloonText">
    <w:name w:val="Balloon Text"/>
    <w:basedOn w:val="Normal"/>
    <w:link w:val="BalloonTextChar"/>
    <w:uiPriority w:val="99"/>
    <w:semiHidden/>
    <w:unhideWhenUsed/>
    <w:rsid w:val="002D4575"/>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D4575"/>
    <w:rPr>
      <w:rFonts w:ascii="Segoe UI" w:hAnsi="Segoe UI" w:cs="Segoe UI"/>
      <w:sz w:val="18"/>
      <w:szCs w:val="18"/>
    </w:rPr>
  </w:style>
  <w:style w:type="paragraph" w:styleId="Bibliography">
    <w:name w:val="Bibliography"/>
    <w:basedOn w:val="Normal"/>
    <w:next w:val="Normal"/>
    <w:uiPriority w:val="37"/>
    <w:unhideWhenUsed/>
    <w:rsid w:val="00D3712C"/>
    <w:pPr>
      <w:ind w:left="720" w:hanging="720"/>
    </w:pPr>
    <w:rPr>
      <w:noProof/>
    </w:rPr>
  </w:style>
  <w:style w:type="character" w:styleId="SubtleEmphasis">
    <w:name w:val="Subtle Emphasis"/>
    <w:basedOn w:val="DefaultParagraphFont"/>
    <w:uiPriority w:val="19"/>
    <w:qFormat/>
    <w:rsid w:val="00CC27DB"/>
    <w:rPr>
      <w:i/>
      <w:iCs/>
      <w:color w:val="404040" w:themeColor="text1" w:themeTint="BF"/>
    </w:rPr>
  </w:style>
  <w:style w:type="paragraph" w:styleId="ListParagraph">
    <w:name w:val="List Paragraph"/>
    <w:basedOn w:val="Normal"/>
    <w:uiPriority w:val="34"/>
    <w:qFormat/>
    <w:rsid w:val="000E25D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footer" Target="footer1.xml" /><Relationship Type="http://schemas.openxmlformats.org/officeDocument/2006/relationships/image" Id="rId26" Target="media/rId26.png" /><Relationship Type="http://schemas.openxmlformats.org/officeDocument/2006/relationships/image" Id="rId25" Target="media/rId25.png" /><Relationship Type="http://schemas.openxmlformats.org/officeDocument/2006/relationships/image" Id="rId23" Target="media/rId23.png" /><Relationship Type="http://schemas.openxmlformats.org/officeDocument/2006/relationships/image" Id="rId34" Target="media/rId34.png" /><Relationship Type="http://schemas.openxmlformats.org/officeDocument/2006/relationships/image" Id="rId33" Target="media/rId33.png" /><Relationship Type="http://schemas.openxmlformats.org/officeDocument/2006/relationships/image" Id="rId22" Target="media/rId22.png" /><Relationship Type="http://schemas.openxmlformats.org/officeDocument/2006/relationships/image" Id="rId35" Target="media/rId35.png" /><Relationship Type="http://schemas.openxmlformats.org/officeDocument/2006/relationships/image" Id="rId36" Target="media/rId36.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40" Target="media/rId40.png" /><Relationship Type="http://schemas.openxmlformats.org/officeDocument/2006/relationships/image" Id="rId41" Target="media/rId41.png" /><Relationship Type="http://schemas.openxmlformats.org/officeDocument/2006/relationships/image" Id="rId42" Target="media/rId42.png" /><Relationship Type="http://schemas.openxmlformats.org/officeDocument/2006/relationships/image" Id="rId24" Target="media/rId24.png" /><Relationship Type="http://schemas.openxmlformats.org/officeDocument/2006/relationships/image" Id="rId28" Target="media/rId28.png" /><Relationship Type="http://schemas.openxmlformats.org/officeDocument/2006/relationships/image" Id="rId29" Target="media/rId29.png" /><Relationship Type="http://schemas.openxmlformats.org/officeDocument/2006/relationships/image" Id="rId30" Target="media/rId30.png" /><Relationship Type="http://schemas.openxmlformats.org/officeDocument/2006/relationships/image" Id="rId31" Target="media/rId31.png" /><Relationship Type="http://schemas.openxmlformats.org/officeDocument/2006/relationships/image" Id="rId43" Target="media/rId43.png" /><Relationship Type="http://schemas.openxmlformats.org/officeDocument/2006/relationships/hyperlink" Id="rId49" Target="https://doi.org/10.1007/s11356-015-4078-6" TargetMode="External" /><Relationship Type="http://schemas.openxmlformats.org/officeDocument/2006/relationships/hyperlink" Id="rId45" Target="https://doi.org/10.1007/sl0533-010-9416-7" TargetMode="External" /><Relationship Type="http://schemas.openxmlformats.org/officeDocument/2006/relationships/hyperlink" Id="rId47" Target="https://www.jstor.org/stable/24702986" TargetMode="External" /></Relationships>
</file>

<file path=word/_rels/footnotes.xml.rels><?xml version="1.0" encoding="UTF-8"?>
<Relationships xmlns="http://schemas.openxmlformats.org/package/2006/relationships"><Relationship Type="http://schemas.openxmlformats.org/officeDocument/2006/relationships/hyperlink" Id="rId49" Target="https://doi.org/10.1007/s11356-015-4078-6" TargetMode="External" /><Relationship Type="http://schemas.openxmlformats.org/officeDocument/2006/relationships/hyperlink" Id="rId45" Target="https://doi.org/10.1007/sl0533-010-9416-7" TargetMode="External" /><Relationship Type="http://schemas.openxmlformats.org/officeDocument/2006/relationships/hyperlink" Id="rId47" Target="https://www.jstor.org/stable/24702986"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TotalTime>
  <Pages>27</Pages>
  <Words>4165</Words>
  <Characters>23744</Characters>
  <Application>Microsoft Office Word</Application>
  <DocSecurity>0</DocSecurity>
  <Lines>197</Lines>
  <Paragraphs>55</Paragraphs>
  <ScaleCrop>false</ScaleCrop>
  <HeadingPairs>
    <vt:vector size="2" baseType="variant">
      <vt:variant>
        <vt:lpstr>Title</vt:lpstr>
      </vt:variant>
      <vt:variant>
        <vt:i4>1</vt:i4>
      </vt:variant>
    </vt:vector>
  </HeadingPairs>
  <TitlesOfParts>
    <vt:vector size="1" baseType="lpstr">
      <vt:lpstr>profiling hydrochemical dynamics in a rain-dominated water supply area: characterizing the Leech watershed using passive sampling techniques</vt:lpstr>
    </vt:vector>
  </TitlesOfParts>
  <Company/>
  <LinksUpToDate>false</LinksUpToDate>
  <CharactersWithSpaces>27854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Reproducible data analysis: thesis data analysis and visualization</dc:title>
  <dc:creator>Hannah J McSorley</dc:creator>
  <cp:keywords/>
  <dcterms:created xsi:type="dcterms:W3CDTF">2020-02-01T04:05:24Z</dcterms:created>
  <dcterms:modified xsi:type="dcterms:W3CDTF">2020-02-01T04:05:24Z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library.bib</vt:lpwstr>
  </property>
  <property fmtid="{D5CDD505-2E9C-101B-9397-08002B2CF9AE}" pid="3" name="date">
    <vt:lpwstr>2020-01-31</vt:lpwstr>
  </property>
  <property fmtid="{D5CDD505-2E9C-101B-9397-08002B2CF9AE}" pid="4" name="output">
    <vt:lpwstr/>
  </property>
  <property fmtid="{D5CDD505-2E9C-101B-9397-08002B2CF9AE}" pid="5" name="subtitle">
    <vt:lpwstr>Pacific Maritime forWater Masters Project (NSERC forWater)</vt:lpwstr>
  </property>
</Properties>
</file>